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8E2F3" w14:textId="21FE1BAF" w:rsidR="0094304D" w:rsidRPr="00C5497B" w:rsidRDefault="009B675D" w:rsidP="007D7583">
      <w:pPr>
        <w:spacing w:after="0"/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MIGLIORANO LE ATTESE DELLE </w:t>
      </w:r>
      <w:r w:rsidR="00C5497B" w:rsidRPr="00C5497B">
        <w:rPr>
          <w:b/>
          <w:bCs/>
          <w:sz w:val="28"/>
          <w:szCs w:val="28"/>
        </w:rPr>
        <w:t>IMPRESE PIEMONTESI</w:t>
      </w:r>
      <w:r>
        <w:rPr>
          <w:b/>
          <w:bCs/>
          <w:sz w:val="28"/>
          <w:szCs w:val="28"/>
        </w:rPr>
        <w:t xml:space="preserve"> NEL IV TRIMESTRE</w:t>
      </w:r>
      <w:r>
        <w:rPr>
          <w:b/>
          <w:bCs/>
          <w:sz w:val="28"/>
          <w:szCs w:val="28"/>
        </w:rPr>
        <w:br/>
      </w:r>
      <w:r w:rsidR="00C5497B" w:rsidRPr="00C5497B">
        <w:rPr>
          <w:b/>
          <w:bCs/>
          <w:sz w:val="28"/>
          <w:szCs w:val="28"/>
        </w:rPr>
        <w:t>CORRONO I SERVIZI</w:t>
      </w:r>
      <w:r w:rsidR="00E925C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PREOCCUPANO I RINCARI DI ENERGIA E CARBURANTI</w:t>
      </w:r>
    </w:p>
    <w:p w14:paraId="5559FB27" w14:textId="39643026" w:rsidR="007D7583" w:rsidRPr="00C5497B" w:rsidRDefault="004F4B99" w:rsidP="007D7583">
      <w:pPr>
        <w:spacing w:before="240"/>
        <w:ind w:right="-1"/>
        <w:jc w:val="center"/>
        <w:rPr>
          <w:rFonts w:cs="Calibri Light"/>
          <w:i/>
          <w:iCs/>
          <w:highlight w:val="yellow"/>
        </w:rPr>
      </w:pPr>
      <w:r w:rsidRPr="00C5497B">
        <w:rPr>
          <w:rFonts w:cs="Calibri Light"/>
          <w:i/>
          <w:iCs/>
        </w:rPr>
        <w:t xml:space="preserve">L’indagine </w:t>
      </w:r>
      <w:r w:rsidR="007D7583" w:rsidRPr="00C5497B">
        <w:rPr>
          <w:rFonts w:cs="Calibri Light"/>
          <w:i/>
          <w:iCs/>
        </w:rPr>
        <w:t>congiunturale condotta tra 1.200 imprese associate a Confindustria in Piemonte</w:t>
      </w:r>
      <w:r w:rsidR="007D7583" w:rsidRPr="00C5497B">
        <w:rPr>
          <w:rFonts w:cs="Calibri Light"/>
          <w:i/>
          <w:iCs/>
        </w:rPr>
        <w:br/>
      </w:r>
      <w:r w:rsidR="00C5497B" w:rsidRPr="00C5497B">
        <w:rPr>
          <w:rFonts w:cs="Calibri Light"/>
          <w:i/>
          <w:iCs/>
        </w:rPr>
        <w:t xml:space="preserve">riflette un clima di fiducia </w:t>
      </w:r>
      <w:r w:rsidR="00E925CB">
        <w:rPr>
          <w:rFonts w:cs="Calibri Light"/>
          <w:i/>
          <w:iCs/>
        </w:rPr>
        <w:t>in ripresa</w:t>
      </w:r>
      <w:r w:rsidR="00C5497B" w:rsidRPr="00C5497B">
        <w:rPr>
          <w:rFonts w:cs="Calibri Light"/>
          <w:i/>
          <w:iCs/>
        </w:rPr>
        <w:t xml:space="preserve"> nonostante un contesto dominato dalla crisi</w:t>
      </w:r>
      <w:r w:rsidR="00C5497B">
        <w:rPr>
          <w:rFonts w:cs="Calibri Light"/>
          <w:i/>
          <w:iCs/>
        </w:rPr>
        <w:t xml:space="preserve"> energetica.</w:t>
      </w:r>
      <w:r w:rsidR="007D7583" w:rsidRPr="00C5497B">
        <w:rPr>
          <w:rFonts w:cs="Calibri Light"/>
          <w:i/>
          <w:iCs/>
          <w:highlight w:val="yellow"/>
        </w:rPr>
        <w:t xml:space="preserve"> </w:t>
      </w:r>
      <w:r w:rsidR="00E925CB">
        <w:rPr>
          <w:rFonts w:cs="Calibri Light"/>
          <w:i/>
          <w:iCs/>
          <w:highlight w:val="yellow"/>
        </w:rPr>
        <w:br/>
      </w:r>
      <w:r w:rsidR="00E925CB" w:rsidRPr="00E925CB">
        <w:rPr>
          <w:rFonts w:cs="Calibri Light"/>
          <w:i/>
          <w:iCs/>
        </w:rPr>
        <w:t>Amalberto: “</w:t>
      </w:r>
      <w:r w:rsidR="00E925CB">
        <w:rPr>
          <w:rFonts w:cs="Calibri Light"/>
          <w:i/>
          <w:iCs/>
        </w:rPr>
        <w:t>In manovra servono misure che garantiscano stabilità a investimenti e credito”</w:t>
      </w:r>
    </w:p>
    <w:p w14:paraId="74F53166" w14:textId="1A52AEA9" w:rsidR="00550CC8" w:rsidRPr="008E383D" w:rsidRDefault="00550CC8" w:rsidP="007D7583">
      <w:pPr>
        <w:ind w:right="-1"/>
        <w:jc w:val="right"/>
        <w:rPr>
          <w:rFonts w:cs="Calibri Light"/>
          <w:sz w:val="22"/>
          <w:szCs w:val="22"/>
        </w:rPr>
      </w:pPr>
      <w:r w:rsidRPr="008E383D">
        <w:rPr>
          <w:rFonts w:cs="Calibri Light"/>
          <w:sz w:val="22"/>
          <w:szCs w:val="22"/>
        </w:rPr>
        <w:t xml:space="preserve">Torino, </w:t>
      </w:r>
      <w:r w:rsidR="00C5497B" w:rsidRPr="008E383D">
        <w:rPr>
          <w:rFonts w:cs="Calibri Light"/>
          <w:sz w:val="22"/>
          <w:szCs w:val="22"/>
        </w:rPr>
        <w:t>8 ottobre</w:t>
      </w:r>
      <w:r w:rsidR="009B5631" w:rsidRPr="008E383D">
        <w:rPr>
          <w:rFonts w:cs="Calibri Light"/>
          <w:sz w:val="22"/>
          <w:szCs w:val="22"/>
        </w:rPr>
        <w:t xml:space="preserve"> </w:t>
      </w:r>
      <w:r w:rsidR="00BA4A64" w:rsidRPr="008E383D">
        <w:rPr>
          <w:rFonts w:cs="Calibri Light"/>
          <w:sz w:val="22"/>
          <w:szCs w:val="22"/>
        </w:rPr>
        <w:t>2026</w:t>
      </w:r>
    </w:p>
    <w:p w14:paraId="3D5371B6" w14:textId="77777777" w:rsidR="009B675D" w:rsidRDefault="008E383D" w:rsidP="0086362E">
      <w:pPr>
        <w:ind w:right="-1"/>
        <w:jc w:val="both"/>
      </w:pPr>
      <w:r>
        <w:t>D</w:t>
      </w:r>
      <w:r w:rsidR="009540FF" w:rsidRPr="008E383D">
        <w:t>all’indagine congiunturale di Confindustria Piemonte</w:t>
      </w:r>
      <w:r w:rsidR="001D48BF">
        <w:t>,</w:t>
      </w:r>
      <w:r w:rsidR="009540FF" w:rsidRPr="008E383D">
        <w:t xml:space="preserve"> che raccoglie le risposte arrivate da circa 1.200 imprese nel mese di </w:t>
      </w:r>
      <w:r w:rsidRPr="008E383D">
        <w:t>settembre</w:t>
      </w:r>
      <w:r w:rsidR="001D48BF">
        <w:t>,</w:t>
      </w:r>
      <w:r>
        <w:t xml:space="preserve"> </w:t>
      </w:r>
      <w:r w:rsidRPr="008E383D">
        <w:t xml:space="preserve">arrivano attese in miglioramento per </w:t>
      </w:r>
      <w:r w:rsidRPr="00E925CB">
        <w:rPr>
          <w:b/>
          <w:bCs/>
        </w:rPr>
        <w:t>occupazione</w:t>
      </w:r>
      <w:r w:rsidRPr="008E383D">
        <w:t xml:space="preserve"> (saldo ottimisti/pessimisti </w:t>
      </w:r>
      <w:r>
        <w:t>pari a</w:t>
      </w:r>
      <w:r w:rsidRPr="008E383D">
        <w:t xml:space="preserve"> +10,7%, +4,4 punti), </w:t>
      </w:r>
      <w:r w:rsidRPr="00E925CB">
        <w:rPr>
          <w:b/>
          <w:bCs/>
        </w:rPr>
        <w:t>produzione</w:t>
      </w:r>
      <w:r w:rsidRPr="008E383D">
        <w:t xml:space="preserve"> (+6,7%, +4,4 punti) e </w:t>
      </w:r>
      <w:r w:rsidRPr="00E925CB">
        <w:rPr>
          <w:b/>
          <w:bCs/>
        </w:rPr>
        <w:t>ordini totali</w:t>
      </w:r>
      <w:r w:rsidRPr="008E383D">
        <w:t xml:space="preserve"> (+5,5%, +3,9 punti). Restano negativi, ma in recupero, i saldi di </w:t>
      </w:r>
      <w:r w:rsidRPr="00E925CB">
        <w:rPr>
          <w:b/>
          <w:bCs/>
        </w:rPr>
        <w:t>export</w:t>
      </w:r>
      <w:r w:rsidRPr="008E383D">
        <w:t xml:space="preserve"> (-1,5%) e </w:t>
      </w:r>
      <w:r w:rsidRPr="00E925CB">
        <w:rPr>
          <w:b/>
          <w:bCs/>
        </w:rPr>
        <w:t>redditività</w:t>
      </w:r>
      <w:r w:rsidRPr="008E383D">
        <w:t xml:space="preserve"> (-6,1%).</w:t>
      </w:r>
      <w:r w:rsidR="009B675D">
        <w:t xml:space="preserve"> </w:t>
      </w:r>
      <w:r w:rsidR="00B93DEF">
        <w:t>Come già in passato, i</w:t>
      </w:r>
      <w:r>
        <w:t>l</w:t>
      </w:r>
      <w:r w:rsidRPr="008E383D">
        <w:t xml:space="preserve"> </w:t>
      </w:r>
      <w:r w:rsidRPr="00E925CB">
        <w:rPr>
          <w:b/>
          <w:bCs/>
        </w:rPr>
        <w:t>traino arriva da</w:t>
      </w:r>
      <w:r w:rsidR="00B93DEF" w:rsidRPr="00E925CB">
        <w:rPr>
          <w:b/>
          <w:bCs/>
        </w:rPr>
        <w:t>l terziario</w:t>
      </w:r>
      <w:r w:rsidRPr="008E383D">
        <w:t xml:space="preserve"> (produzione +16,0%, ordini +15,7%), m</w:t>
      </w:r>
      <w:r w:rsidR="009B675D">
        <w:t>a</w:t>
      </w:r>
      <w:r w:rsidRPr="008E383D">
        <w:t xml:space="preserve"> </w:t>
      </w:r>
      <w:r w:rsidRPr="00E925CB">
        <w:rPr>
          <w:b/>
          <w:bCs/>
        </w:rPr>
        <w:t>l’industria torna in terreno positivo sulla produzione</w:t>
      </w:r>
      <w:r w:rsidRPr="008E383D">
        <w:t xml:space="preserve"> (+2,3%, dopo il -1,5% del terzo trimestre)</w:t>
      </w:r>
      <w:r w:rsidR="009B675D">
        <w:t xml:space="preserve"> pur</w:t>
      </w:r>
      <w:r w:rsidRPr="008E383D">
        <w:t xml:space="preserve"> continua</w:t>
      </w:r>
      <w:r w:rsidR="009B675D">
        <w:t>ndo</w:t>
      </w:r>
      <w:r w:rsidRPr="008E383D">
        <w:t xml:space="preserve"> a soffrire sul fronte dei margini (-10,7%). </w:t>
      </w:r>
    </w:p>
    <w:p w14:paraId="1185997A" w14:textId="4E7CBCFA" w:rsidR="00E94AB1" w:rsidRDefault="008E383D" w:rsidP="0086362E">
      <w:pPr>
        <w:ind w:right="-1"/>
        <w:jc w:val="both"/>
      </w:pPr>
      <w:r w:rsidRPr="00E925CB">
        <w:rPr>
          <w:b/>
          <w:bCs/>
        </w:rPr>
        <w:t>Sale lievemente la propensione a investire</w:t>
      </w:r>
      <w:r w:rsidRPr="008E383D">
        <w:t xml:space="preserve">, che interessa il 74,8% delle rispondenti (+1,2 punti. Il tasso di utilizzo di impianti e risorse resta stabile al 77,6%, mentre scende leggermente il ricorso alla CIG, attivata dal 7,5% dei partecipanti all’indagine (-0,5 punti) e dal 10,0% delle imprese manifatturiere. </w:t>
      </w:r>
      <w:r w:rsidR="00802FFA" w:rsidRPr="00802FFA">
        <w:t>Torna a crescere in modo marcato la preoccupazione per i costi</w:t>
      </w:r>
      <w:r w:rsidR="00802FFA">
        <w:t xml:space="preserve">. </w:t>
      </w:r>
      <w:r w:rsidR="00802FFA" w:rsidRPr="00E925CB">
        <w:rPr>
          <w:b/>
          <w:bCs/>
        </w:rPr>
        <w:t>Il 77% delle imprese prevede aumenti significativi dei prezzi dell’energia</w:t>
      </w:r>
      <w:r w:rsidR="00802FFA" w:rsidRPr="00802FFA">
        <w:t xml:space="preserve">, </w:t>
      </w:r>
      <w:r w:rsidR="00E925CB">
        <w:t xml:space="preserve">il dato sale di </w:t>
      </w:r>
      <w:r w:rsidR="00802FFA">
        <w:t>20</w:t>
      </w:r>
      <w:r w:rsidR="00802FFA" w:rsidRPr="00802FFA">
        <w:t xml:space="preserve"> punti rispetto al trimestre precedente, con una quota che sale al</w:t>
      </w:r>
      <w:r w:rsidR="00802FFA">
        <w:t>l’80</w:t>
      </w:r>
      <w:r w:rsidR="00802FFA" w:rsidRPr="00802FFA">
        <w:t>% nell’industria.</w:t>
      </w:r>
      <w:r w:rsidR="00802FFA">
        <w:t xml:space="preserve"> </w:t>
      </w:r>
      <w:r w:rsidR="00802FFA" w:rsidRPr="00802FFA">
        <w:t xml:space="preserve">In </w:t>
      </w:r>
      <w:r w:rsidR="00802FFA" w:rsidRPr="00E925CB">
        <w:rPr>
          <w:b/>
          <w:bCs/>
        </w:rPr>
        <w:t>aumento anche le attese di rincari per materie prime (64%, +7,9 punti) e logistica e trasporti (74,7%, +10,8 punti)</w:t>
      </w:r>
      <w:r w:rsidR="00802FFA" w:rsidRPr="00802FFA">
        <w:t>.</w:t>
      </w:r>
      <w:r w:rsidR="00E94AB1" w:rsidRPr="00E94AB1">
        <w:t xml:space="preserve"> </w:t>
      </w:r>
    </w:p>
    <w:p w14:paraId="3604871A" w14:textId="70C90134" w:rsidR="009B675D" w:rsidRDefault="009B675D" w:rsidP="0086362E">
      <w:pPr>
        <w:ind w:right="-1"/>
        <w:jc w:val="both"/>
      </w:pPr>
      <w:r>
        <w:t>“</w:t>
      </w:r>
      <w:r w:rsidR="0086362E" w:rsidRPr="00E925CB">
        <w:rPr>
          <w:i/>
          <w:iCs/>
        </w:rPr>
        <w:t>L’analisi dei dati di questa indagine congiunturale deve essere positiva nella contingenza ma non possiamo negare come i dati tendenziali contengano vari elementi di allarme, a cominciare dal costo dell’energia e dei carburanti. Noi imprenditori stiamo conservando produzione e occupazione in uno scenario che però non fornisce alcuna garanzia. Perché se da un lato le forniture di materie prime sono più stabili, dall’altro il costo per riceverle è salito e si riverbera su margini e costi di produzione. Nella manovra di bilancio sarà prioritario quindi garantire piena agibilità e stabilità alle soluzioni che verranno introdotte</w:t>
      </w:r>
      <w:r w:rsidR="00E925CB">
        <w:rPr>
          <w:i/>
          <w:iCs/>
        </w:rPr>
        <w:t xml:space="preserve"> sui prezzi di energia e carburanti</w:t>
      </w:r>
      <w:r w:rsidR="0086362E" w:rsidRPr="00E925CB">
        <w:rPr>
          <w:i/>
          <w:iCs/>
        </w:rPr>
        <w:t>, così da non fermare gli investimenti e il credito delle imprese, garantendo la competitività e lo sviluppo della nostra industria</w:t>
      </w:r>
      <w:r w:rsidR="0086362E">
        <w:t xml:space="preserve">” dichiara </w:t>
      </w:r>
      <w:r w:rsidR="0086362E" w:rsidRPr="00E925CB">
        <w:rPr>
          <w:b/>
          <w:bCs/>
        </w:rPr>
        <w:t>Andrea Amalberto</w:t>
      </w:r>
      <w:r w:rsidR="0086362E">
        <w:t>, presidente di Confindustria Piemonte.</w:t>
      </w:r>
    </w:p>
    <w:p w14:paraId="1B668760" w14:textId="739F6E07" w:rsidR="002E6466" w:rsidRPr="0086362E" w:rsidRDefault="0086362E" w:rsidP="0086362E">
      <w:pPr>
        <w:ind w:right="-1"/>
        <w:jc w:val="both"/>
      </w:pPr>
      <w:r>
        <w:t>Nelle risposte delle imprese all’indagine, s</w:t>
      </w:r>
      <w:r w:rsidR="00E94AB1" w:rsidRPr="00802FFA">
        <w:t>i conferma lo scostamento tra le attese delle aziende di grandi dimensioni (con oltre 50 dipendenti) che esprimono attese sulla produzione più favorevoli (saldo +9,1%), rispetto a quelle più piccole, che si rivelano più caute (saldo pari a +5,6%).</w:t>
      </w:r>
      <w:r>
        <w:t xml:space="preserve"> </w:t>
      </w:r>
      <w:r w:rsidR="009540FF" w:rsidRPr="002E6466">
        <w:t xml:space="preserve">Passando all’analisi settoriale, il </w:t>
      </w:r>
      <w:r w:rsidR="009540FF" w:rsidRPr="002E6466">
        <w:rPr>
          <w:b/>
          <w:bCs/>
        </w:rPr>
        <w:t>manifatturiero</w:t>
      </w:r>
      <w:r w:rsidR="009540FF" w:rsidRPr="002E6466">
        <w:t xml:space="preserve">, che rappresenta circa due terzi del campione delle imprese che hanno risposto all’indagine, </w:t>
      </w:r>
      <w:r w:rsidR="002E6466" w:rsidRPr="002E6466">
        <w:t>torna in territorio positivo (</w:t>
      </w:r>
      <w:r w:rsidR="002E6466">
        <w:t xml:space="preserve">saldo sulla produzione </w:t>
      </w:r>
      <w:r w:rsidR="002E6466" w:rsidRPr="002E6466">
        <w:t>+2,3%, dal -1,5%</w:t>
      </w:r>
      <w:r w:rsidR="002E6466">
        <w:t xml:space="preserve"> dello scorso trimestre</w:t>
      </w:r>
      <w:r w:rsidR="002E6466" w:rsidRPr="002E6466">
        <w:t>)</w:t>
      </w:r>
      <w:r w:rsidR="002E6466">
        <w:t xml:space="preserve">. Va tuttavia notato che </w:t>
      </w:r>
      <w:r w:rsidR="002E6466" w:rsidRPr="002E6466">
        <w:t>il recupero è trainato da pochi comparti, mentre i settori a più alta intensità energetica continuano a scontare gli effetti dei rincari legati alla crisi in Medio Oriente.</w:t>
      </w:r>
    </w:p>
    <w:p w14:paraId="2CFCCEA2" w14:textId="16FEADCD" w:rsidR="0086362E" w:rsidRDefault="002E6466" w:rsidP="0086362E">
      <w:pPr>
        <w:jc w:val="both"/>
      </w:pPr>
      <w:r w:rsidRPr="00F24C59">
        <w:lastRenderedPageBreak/>
        <w:t xml:space="preserve">La </w:t>
      </w:r>
      <w:r w:rsidRPr="00E925CB">
        <w:rPr>
          <w:b/>
          <w:bCs/>
        </w:rPr>
        <w:t>metalmeccanica</w:t>
      </w:r>
      <w:r w:rsidRPr="00F24C59">
        <w:t xml:space="preserve">, il principale aggregato dell’industria regionale, torna a un saldo positivo per la prima volta dopo 12 trimestri. Al suo interno il quadro è eterogeneo: positive le attese dell’industria elettrica (+20,8%, con un balzo di oltre 17 punti), che beneficia degli investimenti in elettrificazione e reti; migliorano i macchinari e apparecchi (+8,8%, +6 punti), su cui incidono presumibilmente gli incentivi all’investimento. </w:t>
      </w:r>
      <w:r w:rsidRPr="00E925CB">
        <w:rPr>
          <w:b/>
          <w:bCs/>
        </w:rPr>
        <w:t>Rimangono in territorio negativo automotive (-3,0%), metallurgia (-11,9%) e i prodotti in metallo (-4,3%)</w:t>
      </w:r>
      <w:r w:rsidRPr="00F24C59">
        <w:t>, comparti particolarmente esposti al costo dell’energia. Tra gli altri comparti manifatturieri spicca</w:t>
      </w:r>
      <w:r w:rsidR="00F24C59" w:rsidRPr="00F24C59">
        <w:t>no</w:t>
      </w:r>
      <w:r w:rsidRPr="00F24C59">
        <w:t xml:space="preserve"> l</w:t>
      </w:r>
      <w:r w:rsidR="00F24C59" w:rsidRPr="00F24C59">
        <w:t>e</w:t>
      </w:r>
      <w:r w:rsidRPr="00F24C59">
        <w:t xml:space="preserve"> performance dell’alimentare, che segna il saldo più elevato (+21,7%, dal +5,6%</w:t>
      </w:r>
      <w:r w:rsidR="00F24C59" w:rsidRPr="00F24C59">
        <w:t xml:space="preserve"> dello scorso trimestre</w:t>
      </w:r>
      <w:r w:rsidRPr="00F24C59">
        <w:t>), sostenuto anche dalla consueta stagionalità di fine anno</w:t>
      </w:r>
      <w:r w:rsidR="00F24C59" w:rsidRPr="00F24C59">
        <w:t xml:space="preserve"> e del </w:t>
      </w:r>
      <w:r w:rsidRPr="00F24C59">
        <w:t>carta</w:t>
      </w:r>
      <w:r w:rsidR="00F24C59" w:rsidRPr="00F24C59">
        <w:t>rio</w:t>
      </w:r>
      <w:r w:rsidRPr="00F24C59">
        <w:t>-grafic</w:t>
      </w:r>
      <w:r w:rsidR="00F24C59" w:rsidRPr="00F24C59">
        <w:t>o</w:t>
      </w:r>
      <w:r w:rsidRPr="00F24C59">
        <w:t xml:space="preserve"> (+16,7%, dal +3,8%)</w:t>
      </w:r>
      <w:r w:rsidR="00F24C59" w:rsidRPr="00F24C59">
        <w:t>.</w:t>
      </w:r>
      <w:r w:rsidRPr="00F24C59">
        <w:t xml:space="preserve"> </w:t>
      </w:r>
      <w:r w:rsidR="00F24C59" w:rsidRPr="00F24C59">
        <w:t>Attese positive per gomma-plastica (+2,2%) e</w:t>
      </w:r>
      <w:r w:rsidR="00E925CB">
        <w:t xml:space="preserve"> </w:t>
      </w:r>
      <w:r w:rsidR="00F24C59" w:rsidRPr="00F24C59">
        <w:t>edilizia e impiantisti (+4,6%), mentre segnali di ripresa arrivano dal tessile-abbigliamento, che torna positivo (+4,9%, dal -9,4%).</w:t>
      </w:r>
      <w:r w:rsidR="0086362E">
        <w:t xml:space="preserve"> </w:t>
      </w:r>
      <w:r w:rsidRPr="00F24C59">
        <w:t xml:space="preserve">Il caro-energia pesa </w:t>
      </w:r>
      <w:r w:rsidR="00F24C59">
        <w:t>sulla</w:t>
      </w:r>
      <w:r w:rsidRPr="00F24C59">
        <w:t xml:space="preserve"> chimica</w:t>
      </w:r>
      <w:r w:rsidR="00F24C59">
        <w:t>, che</w:t>
      </w:r>
      <w:r w:rsidRPr="00F24C59">
        <w:t xml:space="preserve"> scende in territorio negativo (-8,1%, dal pareggio del terzo trimestre)</w:t>
      </w:r>
      <w:r w:rsidR="00F24C59" w:rsidRPr="00F24C59">
        <w:t xml:space="preserve">, così come </w:t>
      </w:r>
      <w:r w:rsidRPr="00F24C59">
        <w:t xml:space="preserve">le manifatturiere varie (-5,1%). </w:t>
      </w:r>
    </w:p>
    <w:p w14:paraId="49DED155" w14:textId="593B522C" w:rsidR="0086362E" w:rsidRPr="00E925CB" w:rsidRDefault="00F24C59" w:rsidP="0086362E">
      <w:pPr>
        <w:ind w:right="-1"/>
        <w:jc w:val="both"/>
      </w:pPr>
      <w:r w:rsidRPr="00907C57">
        <w:t xml:space="preserve">Nel </w:t>
      </w:r>
      <w:r w:rsidRPr="00907C57">
        <w:rPr>
          <w:b/>
          <w:bCs/>
        </w:rPr>
        <w:t>terziario</w:t>
      </w:r>
      <w:r w:rsidRPr="00907C57">
        <w:t xml:space="preserve"> il miglioramento è diffuso.</w:t>
      </w:r>
      <w:r w:rsidR="000A0997" w:rsidRPr="00907C57">
        <w:t xml:space="preserve"> L’ICT r</w:t>
      </w:r>
      <w:r w:rsidR="000A0997" w:rsidRPr="00907C57">
        <w:t>egistra il saldo più alto (+19,4%, in crescita di 6,3 punti),</w:t>
      </w:r>
      <w:r w:rsidR="000A0997" w:rsidRPr="00907C57">
        <w:t xml:space="preserve"> seguito dai servizi alle imprese (+16,3% in aumento di 3,5 punti) e dagli altri servizi (+17,8% +6,1 punti rispetto allo scorso trimestre), </w:t>
      </w:r>
      <w:r w:rsidR="000A0997" w:rsidRPr="00907C57">
        <w:t>dalle utility (+1</w:t>
      </w:r>
      <w:r w:rsidR="000A0997" w:rsidRPr="00907C57">
        <w:t>5,</w:t>
      </w:r>
      <w:r w:rsidR="000A0997" w:rsidRPr="00907C57">
        <w:t>8%, dal +11,1%</w:t>
      </w:r>
      <w:r w:rsidR="000A0997" w:rsidRPr="00907C57">
        <w:t xml:space="preserve"> della scorsa rilevazione</w:t>
      </w:r>
      <w:r w:rsidR="000A0997" w:rsidRPr="00907C57">
        <w:t>)</w:t>
      </w:r>
      <w:r w:rsidR="000A0997" w:rsidRPr="00907C57">
        <w:t xml:space="preserve">.  </w:t>
      </w:r>
      <w:r w:rsidR="000A0997" w:rsidRPr="00907C57">
        <w:t>Il recupero più marcato riguarda commercio e turismo, che passa dal +1,6% al +</w:t>
      </w:r>
      <w:r w:rsidR="000A0997" w:rsidRPr="00907C57">
        <w:t>10,8</w:t>
      </w:r>
      <w:r w:rsidR="000A0997" w:rsidRPr="00907C57">
        <w:t>%, sostenuto dalla stagione delle festività, anche se l’inflazione in risalita e il rialzo dei tassi potrebbero frenare i consumi delle famiglie nei prossimi mesi.</w:t>
      </w:r>
      <w:r w:rsidR="000A0997" w:rsidRPr="00907C57">
        <w:t xml:space="preserve"> Bene anche i </w:t>
      </w:r>
      <w:r w:rsidR="000A0997" w:rsidRPr="00907C57">
        <w:t xml:space="preserve">trasporti, che si confermano </w:t>
      </w:r>
      <w:r w:rsidR="000A0997" w:rsidRPr="00907C57">
        <w:t>positivi</w:t>
      </w:r>
      <w:r w:rsidR="000A0997" w:rsidRPr="00907C57">
        <w:t xml:space="preserve"> (+</w:t>
      </w:r>
      <w:r w:rsidR="000A0997" w:rsidRPr="00907C57">
        <w:t>12,5</w:t>
      </w:r>
      <w:r w:rsidR="000A0997" w:rsidRPr="00907C57">
        <w:t>%) nonostante il rialzo dei costi di carburante e logistica.</w:t>
      </w:r>
    </w:p>
    <w:p w14:paraId="4C04B1EA" w14:textId="6603FD83" w:rsidR="007D7583" w:rsidRPr="008D5091" w:rsidRDefault="007D7583" w:rsidP="0086362E">
      <w:pPr>
        <w:ind w:right="-1"/>
        <w:jc w:val="both"/>
        <w:rPr>
          <w:b/>
          <w:bCs/>
        </w:rPr>
      </w:pPr>
      <w:r w:rsidRPr="008D5091">
        <w:rPr>
          <w:b/>
          <w:bCs/>
        </w:rPr>
        <w:t xml:space="preserve">Focus </w:t>
      </w:r>
      <w:r w:rsidR="008D5091">
        <w:rPr>
          <w:b/>
          <w:bCs/>
        </w:rPr>
        <w:t>Driver di Rischio della Transizione Sostenibile</w:t>
      </w:r>
    </w:p>
    <w:p w14:paraId="6E8B2A4F" w14:textId="754F379C" w:rsidR="001D48BF" w:rsidRDefault="00380C8F" w:rsidP="0086362E">
      <w:pPr>
        <w:ind w:right="-1"/>
        <w:jc w:val="both"/>
      </w:pPr>
      <w:r w:rsidRPr="008D5091">
        <w:t>Questa edizione dell’Indagine Congiunturale cont</w:t>
      </w:r>
      <w:r w:rsidR="007D7583" w:rsidRPr="008D5091">
        <w:t>iene</w:t>
      </w:r>
      <w:r w:rsidRPr="008D5091">
        <w:t xml:space="preserve"> anche un </w:t>
      </w:r>
      <w:r w:rsidRPr="008D5091">
        <w:rPr>
          <w:b/>
          <w:bCs/>
        </w:rPr>
        <w:t xml:space="preserve">focus tematico </w:t>
      </w:r>
      <w:r w:rsidR="008D5091" w:rsidRPr="008D5091">
        <w:t xml:space="preserve">utile a comprendere rischi, opportunità e soluzioni </w:t>
      </w:r>
      <w:r w:rsidR="001D48BF">
        <w:t xml:space="preserve">per le imprese, </w:t>
      </w:r>
      <w:r w:rsidR="008D5091" w:rsidRPr="008D5091">
        <w:t>legate alla transizione sostenibile</w:t>
      </w:r>
      <w:r w:rsidR="00E925CB">
        <w:t xml:space="preserve">. </w:t>
      </w:r>
      <w:r w:rsidR="001D48BF">
        <w:t xml:space="preserve">Abbiamo domandato </w:t>
      </w:r>
      <w:r w:rsidR="001D48BF" w:rsidRPr="001D48BF">
        <w:t xml:space="preserve">alle imprese piemontesi quali temi della transizione sostenibile pesino di più sulla competitività del loro settore e dove abbiano scelto di concentrare il proprio impegno strategico. Ne emerge un quadro chiaro: le imprese avvertono soprattutto la pressione di fattori esterni, primo fra tutti l'instabilità geopolitica, che grava in particolare sulla manifattura e sulle aziende più presenti sui mercati esteri. È però un rischio che le imprese faticano a governare. </w:t>
      </w:r>
    </w:p>
    <w:p w14:paraId="4F54BE8A" w14:textId="488668DE" w:rsidR="001D48BF" w:rsidRDefault="001D48BF" w:rsidP="0086362E">
      <w:pPr>
        <w:ind w:right="-1"/>
        <w:jc w:val="both"/>
      </w:pPr>
      <w:r w:rsidRPr="001D48BF">
        <w:t xml:space="preserve">La risposta su cui puntano con decisione, </w:t>
      </w:r>
      <w:r>
        <w:t>anche</w:t>
      </w:r>
      <w:r w:rsidRPr="001D48BF">
        <w:t xml:space="preserve"> guardando al futuro, è </w:t>
      </w:r>
      <w:r w:rsidRPr="001D48BF">
        <w:rPr>
          <w:b/>
          <w:bCs/>
        </w:rPr>
        <w:t>l'innovazione, considerata la leva più efficace per restare competitivi</w:t>
      </w:r>
      <w:r w:rsidRPr="001D48BF">
        <w:t xml:space="preserve">. Nei prossimi anni crescerà l'attenzione alla dimensione aziendale e allo sviluppo di prodotti e servizi per la green economy, segno che la sostenibilità viene sempre più vissuta come un'opportunità di mercato. I temi ambientali in senso stretto, come la decarbonizzazione e l'economia circolare, restano invece ancora ai margini delle priorità, soprattutto per le imprese più piccole. A fare la differenza sono il settore, la dimensione e la capacità di investire: chi investe di più è anche più avanti nel percorso di transizione. </w:t>
      </w:r>
    </w:p>
    <w:p w14:paraId="4B190B75" w14:textId="77777777" w:rsidR="00E925CB" w:rsidRPr="00E925CB" w:rsidRDefault="00E925CB" w:rsidP="00E925CB">
      <w:pPr>
        <w:spacing w:after="0"/>
        <w:ind w:right="-1"/>
        <w:jc w:val="both"/>
        <w:rPr>
          <w:sz w:val="22"/>
          <w:szCs w:val="22"/>
        </w:rPr>
      </w:pPr>
      <w:r w:rsidRPr="00E925CB">
        <w:rPr>
          <w:sz w:val="22"/>
          <w:szCs w:val="22"/>
        </w:rPr>
        <w:t>Ufficio stampa Confindustria Piemonte</w:t>
      </w:r>
    </w:p>
    <w:p w14:paraId="5971BF12" w14:textId="7DB070F8" w:rsidR="00E925CB" w:rsidRPr="00E925CB" w:rsidRDefault="00E925CB" w:rsidP="00E925CB">
      <w:pPr>
        <w:spacing w:after="0"/>
        <w:ind w:right="-1"/>
        <w:jc w:val="both"/>
        <w:rPr>
          <w:sz w:val="22"/>
          <w:szCs w:val="22"/>
        </w:rPr>
      </w:pPr>
      <w:hyperlink r:id="rId9" w:history="1">
        <w:r w:rsidRPr="00E925CB">
          <w:rPr>
            <w:rStyle w:val="Collegamentoipertestuale"/>
            <w:sz w:val="22"/>
            <w:szCs w:val="22"/>
          </w:rPr>
          <w:t>media@confindustria.piemonte.it</w:t>
        </w:r>
      </w:hyperlink>
    </w:p>
    <w:p w14:paraId="5E1774D9" w14:textId="52A96523" w:rsidR="00E925CB" w:rsidRPr="00E925CB" w:rsidRDefault="00E925CB" w:rsidP="00E925CB">
      <w:pPr>
        <w:spacing w:after="0"/>
        <w:ind w:right="-1"/>
        <w:jc w:val="both"/>
        <w:rPr>
          <w:sz w:val="22"/>
          <w:szCs w:val="22"/>
        </w:rPr>
      </w:pPr>
      <w:r w:rsidRPr="00E925CB">
        <w:rPr>
          <w:sz w:val="22"/>
          <w:szCs w:val="22"/>
        </w:rPr>
        <w:t xml:space="preserve">Jan Pellissier 347 7845273 </w:t>
      </w:r>
    </w:p>
    <w:sectPr w:rsidR="00E925CB" w:rsidRPr="00E925CB" w:rsidSect="000E7BEB">
      <w:headerReference w:type="default" r:id="rId10"/>
      <w:pgSz w:w="11906" w:h="16838"/>
      <w:pgMar w:top="1622" w:right="1134" w:bottom="1128" w:left="1134" w:header="45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7044A" w14:textId="77777777" w:rsidR="003D5699" w:rsidRDefault="003D5699" w:rsidP="00AF4F17">
      <w:pPr>
        <w:spacing w:after="0" w:line="240" w:lineRule="auto"/>
      </w:pPr>
      <w:r>
        <w:separator/>
      </w:r>
    </w:p>
  </w:endnote>
  <w:endnote w:type="continuationSeparator" w:id="0">
    <w:p w14:paraId="2E0EF7C4" w14:textId="77777777" w:rsidR="003D5699" w:rsidRDefault="003D5699" w:rsidP="00AF4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 (Corpo CS)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6A774" w14:textId="77777777" w:rsidR="003D5699" w:rsidRDefault="003D5699" w:rsidP="00AF4F17">
      <w:pPr>
        <w:spacing w:after="0" w:line="240" w:lineRule="auto"/>
      </w:pPr>
      <w:r>
        <w:separator/>
      </w:r>
    </w:p>
  </w:footnote>
  <w:footnote w:type="continuationSeparator" w:id="0">
    <w:p w14:paraId="5A924581" w14:textId="77777777" w:rsidR="003D5699" w:rsidRDefault="003D5699" w:rsidP="00AF4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6C071" w14:textId="1440F48C" w:rsidR="00AF4F17" w:rsidRDefault="00AF4F17" w:rsidP="00AF4F17">
    <w:pPr>
      <w:pStyle w:val="Intestazione"/>
    </w:pPr>
    <w:r>
      <w:tab/>
    </w:r>
    <w:r w:rsidR="009540FF">
      <w:rPr>
        <w:noProof/>
      </w:rPr>
      <w:drawing>
        <wp:inline distT="0" distB="0" distL="0" distR="0" wp14:anchorId="1AF253D6" wp14:editId="48F638B6">
          <wp:extent cx="1033669" cy="608201"/>
          <wp:effectExtent l="0" t="0" r="0" b="1905"/>
          <wp:docPr id="1281025239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1025239" name="Immagine 12810252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8159" cy="6461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F17"/>
    <w:rsid w:val="000554CB"/>
    <w:rsid w:val="00075774"/>
    <w:rsid w:val="00095F58"/>
    <w:rsid w:val="000A0997"/>
    <w:rsid w:val="000A349A"/>
    <w:rsid w:val="000B460E"/>
    <w:rsid w:val="000C24C1"/>
    <w:rsid w:val="000C303A"/>
    <w:rsid w:val="000D5003"/>
    <w:rsid w:val="000E277F"/>
    <w:rsid w:val="000E7BEB"/>
    <w:rsid w:val="0011500A"/>
    <w:rsid w:val="001368CE"/>
    <w:rsid w:val="00150E87"/>
    <w:rsid w:val="00192089"/>
    <w:rsid w:val="001A13A4"/>
    <w:rsid w:val="001A64B0"/>
    <w:rsid w:val="001A7320"/>
    <w:rsid w:val="001D0714"/>
    <w:rsid w:val="001D3410"/>
    <w:rsid w:val="001D48BF"/>
    <w:rsid w:val="001E31A0"/>
    <w:rsid w:val="00200BDA"/>
    <w:rsid w:val="00202581"/>
    <w:rsid w:val="00204424"/>
    <w:rsid w:val="002079D0"/>
    <w:rsid w:val="0021033D"/>
    <w:rsid w:val="0021350D"/>
    <w:rsid w:val="0022695D"/>
    <w:rsid w:val="002A7AB5"/>
    <w:rsid w:val="002E54A4"/>
    <w:rsid w:val="002E6386"/>
    <w:rsid w:val="002E6466"/>
    <w:rsid w:val="002F6362"/>
    <w:rsid w:val="002F7BAF"/>
    <w:rsid w:val="00312F38"/>
    <w:rsid w:val="00323C7D"/>
    <w:rsid w:val="00333AEC"/>
    <w:rsid w:val="00340AA8"/>
    <w:rsid w:val="003428E7"/>
    <w:rsid w:val="00343305"/>
    <w:rsid w:val="00351BA5"/>
    <w:rsid w:val="00352898"/>
    <w:rsid w:val="003545BC"/>
    <w:rsid w:val="00361A2A"/>
    <w:rsid w:val="00372BF2"/>
    <w:rsid w:val="00380C8F"/>
    <w:rsid w:val="00384F29"/>
    <w:rsid w:val="003868D0"/>
    <w:rsid w:val="003909B4"/>
    <w:rsid w:val="003949DA"/>
    <w:rsid w:val="00394D26"/>
    <w:rsid w:val="003A33BA"/>
    <w:rsid w:val="003A6564"/>
    <w:rsid w:val="003A7251"/>
    <w:rsid w:val="003C1C70"/>
    <w:rsid w:val="003D1B3A"/>
    <w:rsid w:val="003D5699"/>
    <w:rsid w:val="003D7360"/>
    <w:rsid w:val="004017CC"/>
    <w:rsid w:val="00401D82"/>
    <w:rsid w:val="004035E9"/>
    <w:rsid w:val="00406CE6"/>
    <w:rsid w:val="004219A8"/>
    <w:rsid w:val="00472750"/>
    <w:rsid w:val="00482F38"/>
    <w:rsid w:val="00496C01"/>
    <w:rsid w:val="004C34A4"/>
    <w:rsid w:val="004D0C40"/>
    <w:rsid w:val="004E4D37"/>
    <w:rsid w:val="004F094E"/>
    <w:rsid w:val="004F4B99"/>
    <w:rsid w:val="005008B3"/>
    <w:rsid w:val="00505CE5"/>
    <w:rsid w:val="00514501"/>
    <w:rsid w:val="00517C9A"/>
    <w:rsid w:val="00521708"/>
    <w:rsid w:val="00550CC8"/>
    <w:rsid w:val="00555E84"/>
    <w:rsid w:val="00563EA8"/>
    <w:rsid w:val="00567CE2"/>
    <w:rsid w:val="00572E9A"/>
    <w:rsid w:val="0058560B"/>
    <w:rsid w:val="00594F88"/>
    <w:rsid w:val="005A5BD1"/>
    <w:rsid w:val="005D7202"/>
    <w:rsid w:val="005E164C"/>
    <w:rsid w:val="005F2728"/>
    <w:rsid w:val="005F6F35"/>
    <w:rsid w:val="006008E3"/>
    <w:rsid w:val="0060509A"/>
    <w:rsid w:val="006110A2"/>
    <w:rsid w:val="006263BC"/>
    <w:rsid w:val="00632163"/>
    <w:rsid w:val="00642614"/>
    <w:rsid w:val="00676AC8"/>
    <w:rsid w:val="00682EA1"/>
    <w:rsid w:val="00683ECA"/>
    <w:rsid w:val="006A5337"/>
    <w:rsid w:val="006A5A84"/>
    <w:rsid w:val="006A693E"/>
    <w:rsid w:val="006B23A4"/>
    <w:rsid w:val="006C42BD"/>
    <w:rsid w:val="006F2EBC"/>
    <w:rsid w:val="007100EF"/>
    <w:rsid w:val="00711866"/>
    <w:rsid w:val="007119F4"/>
    <w:rsid w:val="00713CEF"/>
    <w:rsid w:val="00720DC3"/>
    <w:rsid w:val="00733C1C"/>
    <w:rsid w:val="00737325"/>
    <w:rsid w:val="00746DE8"/>
    <w:rsid w:val="00770957"/>
    <w:rsid w:val="0077341C"/>
    <w:rsid w:val="007814AA"/>
    <w:rsid w:val="0078306F"/>
    <w:rsid w:val="0078677B"/>
    <w:rsid w:val="007920C3"/>
    <w:rsid w:val="007943CF"/>
    <w:rsid w:val="00794640"/>
    <w:rsid w:val="00794699"/>
    <w:rsid w:val="007A449C"/>
    <w:rsid w:val="007B02CC"/>
    <w:rsid w:val="007B084B"/>
    <w:rsid w:val="007D7583"/>
    <w:rsid w:val="007F4B23"/>
    <w:rsid w:val="00802FFA"/>
    <w:rsid w:val="00860493"/>
    <w:rsid w:val="00861891"/>
    <w:rsid w:val="0086362E"/>
    <w:rsid w:val="00876B1D"/>
    <w:rsid w:val="00885009"/>
    <w:rsid w:val="008C268B"/>
    <w:rsid w:val="008C7120"/>
    <w:rsid w:val="008C7A1E"/>
    <w:rsid w:val="008D5091"/>
    <w:rsid w:val="008E383D"/>
    <w:rsid w:val="008F4BD7"/>
    <w:rsid w:val="00903262"/>
    <w:rsid w:val="00907C57"/>
    <w:rsid w:val="00926C30"/>
    <w:rsid w:val="00934857"/>
    <w:rsid w:val="0094304D"/>
    <w:rsid w:val="00946830"/>
    <w:rsid w:val="009475DB"/>
    <w:rsid w:val="009540FF"/>
    <w:rsid w:val="00994EEB"/>
    <w:rsid w:val="009960C6"/>
    <w:rsid w:val="0099669B"/>
    <w:rsid w:val="009A3889"/>
    <w:rsid w:val="009B2C2B"/>
    <w:rsid w:val="009B5631"/>
    <w:rsid w:val="009B675D"/>
    <w:rsid w:val="009C2577"/>
    <w:rsid w:val="009C3392"/>
    <w:rsid w:val="009D37A2"/>
    <w:rsid w:val="00A2447B"/>
    <w:rsid w:val="00A34F8C"/>
    <w:rsid w:val="00A358DF"/>
    <w:rsid w:val="00A43BB4"/>
    <w:rsid w:val="00A500E5"/>
    <w:rsid w:val="00A556BE"/>
    <w:rsid w:val="00A82BFC"/>
    <w:rsid w:val="00A907C1"/>
    <w:rsid w:val="00AA3048"/>
    <w:rsid w:val="00AB69B4"/>
    <w:rsid w:val="00AB6B0B"/>
    <w:rsid w:val="00AC3EC4"/>
    <w:rsid w:val="00AD6121"/>
    <w:rsid w:val="00AF4F17"/>
    <w:rsid w:val="00AF5CBD"/>
    <w:rsid w:val="00AF653B"/>
    <w:rsid w:val="00B00046"/>
    <w:rsid w:val="00B351EA"/>
    <w:rsid w:val="00B649DA"/>
    <w:rsid w:val="00B64E4A"/>
    <w:rsid w:val="00B657B6"/>
    <w:rsid w:val="00B721DF"/>
    <w:rsid w:val="00B766CE"/>
    <w:rsid w:val="00B84C90"/>
    <w:rsid w:val="00B9122A"/>
    <w:rsid w:val="00B93DEF"/>
    <w:rsid w:val="00BA4A64"/>
    <w:rsid w:val="00BA7A66"/>
    <w:rsid w:val="00BD1DC0"/>
    <w:rsid w:val="00BD2892"/>
    <w:rsid w:val="00BE6676"/>
    <w:rsid w:val="00BF3A03"/>
    <w:rsid w:val="00C02948"/>
    <w:rsid w:val="00C149A0"/>
    <w:rsid w:val="00C15FF0"/>
    <w:rsid w:val="00C332D1"/>
    <w:rsid w:val="00C5497B"/>
    <w:rsid w:val="00C632C0"/>
    <w:rsid w:val="00C8760E"/>
    <w:rsid w:val="00C91A0C"/>
    <w:rsid w:val="00C91B97"/>
    <w:rsid w:val="00CA02D7"/>
    <w:rsid w:val="00CB196C"/>
    <w:rsid w:val="00CB258B"/>
    <w:rsid w:val="00CD4809"/>
    <w:rsid w:val="00D0331C"/>
    <w:rsid w:val="00D374CF"/>
    <w:rsid w:val="00D715E6"/>
    <w:rsid w:val="00D71A47"/>
    <w:rsid w:val="00D746EE"/>
    <w:rsid w:val="00D81188"/>
    <w:rsid w:val="00D94BC5"/>
    <w:rsid w:val="00D97ABB"/>
    <w:rsid w:val="00DB0E49"/>
    <w:rsid w:val="00DB726C"/>
    <w:rsid w:val="00DC7477"/>
    <w:rsid w:val="00DD6E5D"/>
    <w:rsid w:val="00DE6735"/>
    <w:rsid w:val="00E079E4"/>
    <w:rsid w:val="00E11D19"/>
    <w:rsid w:val="00E134EB"/>
    <w:rsid w:val="00E30EC5"/>
    <w:rsid w:val="00E32785"/>
    <w:rsid w:val="00E43121"/>
    <w:rsid w:val="00E46CE2"/>
    <w:rsid w:val="00E62196"/>
    <w:rsid w:val="00E644C6"/>
    <w:rsid w:val="00E7290F"/>
    <w:rsid w:val="00E763DA"/>
    <w:rsid w:val="00E76BBF"/>
    <w:rsid w:val="00E925CB"/>
    <w:rsid w:val="00E94AB1"/>
    <w:rsid w:val="00E96332"/>
    <w:rsid w:val="00F0068E"/>
    <w:rsid w:val="00F02239"/>
    <w:rsid w:val="00F04313"/>
    <w:rsid w:val="00F24596"/>
    <w:rsid w:val="00F24C59"/>
    <w:rsid w:val="00F30A14"/>
    <w:rsid w:val="00F40AB6"/>
    <w:rsid w:val="00F411A5"/>
    <w:rsid w:val="00F45C46"/>
    <w:rsid w:val="00F5360F"/>
    <w:rsid w:val="00F56371"/>
    <w:rsid w:val="00F619C6"/>
    <w:rsid w:val="00F76909"/>
    <w:rsid w:val="00F85F83"/>
    <w:rsid w:val="00F8727C"/>
    <w:rsid w:val="00FA48E8"/>
    <w:rsid w:val="00FB3414"/>
    <w:rsid w:val="00FB59C9"/>
    <w:rsid w:val="00FC6DA8"/>
    <w:rsid w:val="00FD1BDA"/>
    <w:rsid w:val="00FD49FC"/>
    <w:rsid w:val="00FD634D"/>
    <w:rsid w:val="00FE2EF8"/>
    <w:rsid w:val="00FF67FA"/>
    <w:rsid w:val="00FF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AFD387"/>
  <w15:chartTrackingRefBased/>
  <w15:docId w15:val="{80A3AB30-FEC3-C94C-8135-FFA7AB6D8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="Times New Roman (Corpo CS)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F4F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F4F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F4F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F4F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F4F1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F4F1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F4F1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F4F1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F4F1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4F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F4F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F4F1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F4F1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F4F1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F4F1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F4F1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F4F1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F4F1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F4F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F4F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F4F1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F4F1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F4F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F4F1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F4F1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F4F1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F4F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F4F1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F4F17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F4F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4F17"/>
  </w:style>
  <w:style w:type="paragraph" w:styleId="Pidipagina">
    <w:name w:val="footer"/>
    <w:basedOn w:val="Normale"/>
    <w:link w:val="PidipaginaCarattere"/>
    <w:uiPriority w:val="99"/>
    <w:unhideWhenUsed/>
    <w:rsid w:val="00AF4F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4F17"/>
  </w:style>
  <w:style w:type="character" w:styleId="Collegamentoipertestuale">
    <w:name w:val="Hyperlink"/>
    <w:basedOn w:val="Carpredefinitoparagrafo"/>
    <w:uiPriority w:val="99"/>
    <w:unhideWhenUsed/>
    <w:rsid w:val="00550CC8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0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media@confindustria.piemont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3E4DC45BA73042A8991900A73C3823" ma:contentTypeVersion="12" ma:contentTypeDescription="Creare un nuovo documento." ma:contentTypeScope="" ma:versionID="dfe898b8dec8ef236e9c2bb871a3e76d">
  <xsd:schema xmlns:xsd="http://www.w3.org/2001/XMLSchema" xmlns:xs="http://www.w3.org/2001/XMLSchema" xmlns:p="http://schemas.microsoft.com/office/2006/metadata/properties" xmlns:ns2="8378a518-e356-45b1-b781-0d7d306af137" xmlns:ns3="2f9d7ded-dfef-4ae0-89c2-1c36f94404d7" targetNamespace="http://schemas.microsoft.com/office/2006/metadata/properties" ma:root="true" ma:fieldsID="f6fffb698fa37f014683b50606c698de" ns2:_="" ns3:_="">
    <xsd:import namespace="8378a518-e356-45b1-b781-0d7d306af137"/>
    <xsd:import namespace="2f9d7ded-dfef-4ae0-89c2-1c36f94404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8a518-e356-45b1-b781-0d7d306af1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0e357911-d017-42b5-b381-3a997ae478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9d7ded-dfef-4ae0-89c2-1c36f94404d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b1f4ef-a017-4381-bfee-7fb37ec5180c}" ma:internalName="TaxCatchAll" ma:showField="CatchAllData" ma:web="2f9d7ded-dfef-4ae0-89c2-1c36f94404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78a518-e356-45b1-b781-0d7d306af137">
      <Terms xmlns="http://schemas.microsoft.com/office/infopath/2007/PartnerControls"/>
    </lcf76f155ced4ddcb4097134ff3c332f>
    <TaxCatchAll xmlns="2f9d7ded-dfef-4ae0-89c2-1c36f94404d7" xsi:nil="true"/>
  </documentManagement>
</p:properties>
</file>

<file path=customXml/itemProps1.xml><?xml version="1.0" encoding="utf-8"?>
<ds:datastoreItem xmlns:ds="http://schemas.openxmlformats.org/officeDocument/2006/customXml" ds:itemID="{18B6F9D1-95CB-4203-BD5E-F465D27CF8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78a518-e356-45b1-b781-0d7d306af137"/>
    <ds:schemaRef ds:uri="2f9d7ded-dfef-4ae0-89c2-1c36f94404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CD0281-CADE-4B23-9890-C908EEB0F4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1DD69A-8FB2-4588-B477-88A85B0B03C0}">
  <ds:schemaRefs>
    <ds:schemaRef ds:uri="http://schemas.microsoft.com/office/2006/metadata/properties"/>
    <ds:schemaRef ds:uri="http://schemas.microsoft.com/office/infopath/2007/PartnerControls"/>
    <ds:schemaRef ds:uri="8378a518-e356-45b1-b781-0d7d306af137"/>
    <ds:schemaRef ds:uri="2f9d7ded-dfef-4ae0-89c2-1c36f94404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Barberis Lidia UI Torino</cp:lastModifiedBy>
  <cp:revision>3</cp:revision>
  <cp:lastPrinted>2025-07-16T07:47:00Z</cp:lastPrinted>
  <dcterms:created xsi:type="dcterms:W3CDTF">2026-10-07T14:55:00Z</dcterms:created>
  <dcterms:modified xsi:type="dcterms:W3CDTF">2026-10-07T15:01:00Z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0x010100DF3E4DC45BA73042A8991900A73C3823</vt:lpwstr>
  </property>
  <property fmtid="{D5CDD505-2E9C-101B-9397-08002B2CF9AE}" pid="3" name="Order">
    <vt:r8>3442600</vt:r8>
  </property>
</Properties>
</file>