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E2F3" w14:textId="0648D219" w:rsidR="0094304D" w:rsidRDefault="00352898" w:rsidP="0094304D">
      <w:pPr>
        <w:jc w:val="center"/>
        <w:rPr>
          <w:b/>
          <w:bCs/>
          <w:sz w:val="28"/>
          <w:szCs w:val="28"/>
        </w:rPr>
      </w:pPr>
      <w:r>
        <w:rPr>
          <w:b/>
          <w:bCs/>
          <w:sz w:val="28"/>
          <w:szCs w:val="28"/>
        </w:rPr>
        <w:t>OTTIMISMO DEL</w:t>
      </w:r>
      <w:r w:rsidR="0094304D" w:rsidRPr="0094304D">
        <w:rPr>
          <w:b/>
          <w:bCs/>
          <w:sz w:val="28"/>
          <w:szCs w:val="28"/>
        </w:rPr>
        <w:t xml:space="preserve">LE IMPRESE PIEMONTESI </w:t>
      </w:r>
      <w:r>
        <w:rPr>
          <w:b/>
          <w:bCs/>
          <w:sz w:val="28"/>
          <w:szCs w:val="28"/>
        </w:rPr>
        <w:t>PER IL SECONDO TRIMESTRE</w:t>
      </w:r>
      <w:r w:rsidR="0094304D" w:rsidRPr="0094304D">
        <w:rPr>
          <w:b/>
          <w:bCs/>
          <w:sz w:val="28"/>
          <w:szCs w:val="28"/>
        </w:rPr>
        <w:br/>
      </w:r>
      <w:r w:rsidR="0094304D">
        <w:rPr>
          <w:b/>
          <w:bCs/>
          <w:sz w:val="28"/>
          <w:szCs w:val="28"/>
        </w:rPr>
        <w:t xml:space="preserve">BENE OCCUPAZIONE E INVESTIMENTI, </w:t>
      </w:r>
      <w:r>
        <w:rPr>
          <w:b/>
          <w:bCs/>
          <w:sz w:val="28"/>
          <w:szCs w:val="28"/>
        </w:rPr>
        <w:t xml:space="preserve">TIMORI SU </w:t>
      </w:r>
      <w:r w:rsidR="0094304D">
        <w:rPr>
          <w:b/>
          <w:bCs/>
          <w:sz w:val="28"/>
          <w:szCs w:val="28"/>
        </w:rPr>
        <w:t>EXPORT E REDDITIVITA’</w:t>
      </w:r>
    </w:p>
    <w:p w14:paraId="0D0D4F1E" w14:textId="111744D2" w:rsidR="0094304D" w:rsidRDefault="0094304D" w:rsidP="00550CC8">
      <w:pPr>
        <w:ind w:hanging="142"/>
        <w:jc w:val="center"/>
        <w:rPr>
          <w:rFonts w:cs="Calibri Light"/>
          <w:i/>
          <w:iCs/>
        </w:rPr>
      </w:pPr>
      <w:r w:rsidRPr="0094304D">
        <w:rPr>
          <w:rFonts w:cs="Calibri Light"/>
          <w:i/>
          <w:iCs/>
        </w:rPr>
        <w:t xml:space="preserve">L’indagine </w:t>
      </w:r>
      <w:r>
        <w:rPr>
          <w:rFonts w:cs="Calibri Light"/>
          <w:i/>
          <w:iCs/>
        </w:rPr>
        <w:t xml:space="preserve">congiunturale tra 1.300 </w:t>
      </w:r>
      <w:r w:rsidR="000C303A">
        <w:rPr>
          <w:rFonts w:cs="Calibri Light"/>
          <w:i/>
          <w:iCs/>
        </w:rPr>
        <w:t>associati</w:t>
      </w:r>
      <w:r>
        <w:rPr>
          <w:rFonts w:cs="Calibri Light"/>
          <w:i/>
          <w:iCs/>
        </w:rPr>
        <w:t xml:space="preserve"> del sistema confindustriale </w:t>
      </w:r>
      <w:r w:rsidR="00352898">
        <w:rPr>
          <w:rFonts w:cs="Calibri Light"/>
          <w:i/>
          <w:iCs/>
        </w:rPr>
        <w:t xml:space="preserve">regionale </w:t>
      </w:r>
      <w:r>
        <w:rPr>
          <w:rFonts w:cs="Calibri Light"/>
          <w:i/>
          <w:iCs/>
        </w:rPr>
        <w:t xml:space="preserve">conferma </w:t>
      </w:r>
      <w:r w:rsidR="00352898">
        <w:rPr>
          <w:rFonts w:cs="Calibri Light"/>
          <w:i/>
          <w:iCs/>
        </w:rPr>
        <w:br/>
      </w:r>
      <w:r>
        <w:rPr>
          <w:rFonts w:cs="Calibri Light"/>
          <w:i/>
          <w:iCs/>
        </w:rPr>
        <w:t xml:space="preserve">la resilienza del sistema economico nonostante le </w:t>
      </w:r>
      <w:r w:rsidR="000C303A">
        <w:rPr>
          <w:rFonts w:cs="Calibri Light"/>
          <w:i/>
          <w:iCs/>
        </w:rPr>
        <w:t xml:space="preserve">forti </w:t>
      </w:r>
      <w:r>
        <w:rPr>
          <w:rFonts w:cs="Calibri Light"/>
          <w:i/>
          <w:iCs/>
        </w:rPr>
        <w:t>t</w:t>
      </w:r>
      <w:r w:rsidR="00352898">
        <w:rPr>
          <w:rFonts w:cs="Calibri Light"/>
          <w:i/>
          <w:iCs/>
        </w:rPr>
        <w:t>urbolenze delle ultime settimane</w:t>
      </w:r>
      <w:r>
        <w:rPr>
          <w:rFonts w:cs="Calibri Light"/>
          <w:i/>
          <w:iCs/>
        </w:rPr>
        <w:t>.</w:t>
      </w:r>
      <w:r>
        <w:rPr>
          <w:rFonts w:cs="Calibri Light"/>
          <w:i/>
          <w:iCs/>
        </w:rPr>
        <w:br/>
        <w:t>Amalberto: “E’ un risultato tutt’altro che scontato</w:t>
      </w:r>
      <w:r w:rsidR="00550CC8">
        <w:rPr>
          <w:rFonts w:cs="Calibri Light"/>
          <w:i/>
          <w:iCs/>
        </w:rPr>
        <w:t xml:space="preserve"> </w:t>
      </w:r>
      <w:r w:rsidR="00352898">
        <w:rPr>
          <w:rFonts w:cs="Calibri Light"/>
          <w:i/>
          <w:iCs/>
        </w:rPr>
        <w:t>che arriva dopo una prolungata instabilità</w:t>
      </w:r>
      <w:r w:rsidR="00550CC8">
        <w:rPr>
          <w:rFonts w:cs="Calibri Light"/>
          <w:i/>
          <w:iCs/>
        </w:rPr>
        <w:t>”</w:t>
      </w:r>
    </w:p>
    <w:p w14:paraId="74F53166" w14:textId="04150099" w:rsidR="00550CC8" w:rsidRPr="00550CC8" w:rsidRDefault="00550CC8" w:rsidP="00550CC8">
      <w:pPr>
        <w:jc w:val="right"/>
        <w:rPr>
          <w:rFonts w:cs="Calibri Light"/>
          <w:sz w:val="22"/>
          <w:szCs w:val="22"/>
        </w:rPr>
      </w:pPr>
      <w:r w:rsidRPr="00550CC8">
        <w:rPr>
          <w:rFonts w:cs="Calibri Light"/>
          <w:sz w:val="22"/>
          <w:szCs w:val="22"/>
        </w:rPr>
        <w:t>Torino, 15 aprile 2025</w:t>
      </w:r>
    </w:p>
    <w:p w14:paraId="10C61286" w14:textId="3C81CEC0" w:rsidR="00AF4F17" w:rsidRDefault="00AF4F17" w:rsidP="007100EF">
      <w:pPr>
        <w:jc w:val="both"/>
      </w:pPr>
      <w:r>
        <w:t>Dopo tre trimestri in contrazione, le attese delle imprese piemontesi tornano in campo positivo. Ciò avviene nonostante uno scenario di grande incertezza globale, aumentata dall’entrata in vigore dei dazi da parte degli Stati Uniti il 2 aprile</w:t>
      </w:r>
      <w:r w:rsidR="00214155">
        <w:t xml:space="preserve"> e subito rimandata di 90 giorni</w:t>
      </w:r>
      <w:r>
        <w:t xml:space="preserve">. </w:t>
      </w:r>
      <w:r w:rsidR="00AC3EC4">
        <w:t>È</w:t>
      </w:r>
      <w:r>
        <w:t xml:space="preserve"> quanto emerge dall’indagine congiunturale realizzata a marzo dal Centro Studi dell’Unione Industriali Torino tra un campione</w:t>
      </w:r>
      <w:r w:rsidR="00A830BC">
        <w:t xml:space="preserve"> di</w:t>
      </w:r>
      <w:r>
        <w:t xml:space="preserve"> circa 1.300 aziende manifatturiere e dei servizi del sistema confindustriale piemontese. </w:t>
      </w:r>
    </w:p>
    <w:p w14:paraId="245DF22A" w14:textId="2054E38A" w:rsidR="00AF4F17" w:rsidRDefault="00AF4F17" w:rsidP="007100EF">
      <w:pPr>
        <w:jc w:val="both"/>
      </w:pPr>
      <w:r>
        <w:t xml:space="preserve">Dalle imprese arrivano attese positive per occupazione (saldo ottimisti/pessimisti al +7,0%), produzione (+4,4%) e ordini (+2,9%), mentre restano negativi i saldi per </w:t>
      </w:r>
      <w:r w:rsidR="001B5995">
        <w:t>l’</w:t>
      </w:r>
      <w:r>
        <w:t xml:space="preserve">export (-3,6%) e </w:t>
      </w:r>
      <w:r w:rsidR="001B5995">
        <w:t xml:space="preserve">la </w:t>
      </w:r>
      <w:r>
        <w:t xml:space="preserve">redditività (-5,2%). </w:t>
      </w:r>
      <w:r w:rsidR="001B5995">
        <w:t>Q</w:t>
      </w:r>
      <w:r>
        <w:t>uesti ultimi</w:t>
      </w:r>
      <w:r w:rsidR="001B5995">
        <w:t xml:space="preserve"> sono</w:t>
      </w:r>
      <w:r>
        <w:t xml:space="preserve"> legati all’attesa dei dazi, non ancora entrati in vigore al momento</w:t>
      </w:r>
      <w:r w:rsidR="00A34F8C">
        <w:t xml:space="preserve"> della rilevazione ma ampiamente anticipati, e quindi dati per scontati da chi ha risposto all’indagine. Ciononostante, </w:t>
      </w:r>
      <w:r>
        <w:t>gli investimenti</w:t>
      </w:r>
      <w:r w:rsidR="00A34F8C">
        <w:t xml:space="preserve"> vengono confermati e</w:t>
      </w:r>
      <w:r>
        <w:t xml:space="preserve"> interessano oltre il 70% delle aziende. </w:t>
      </w:r>
      <w:r w:rsidR="00A34F8C">
        <w:t>Addirittura,</w:t>
      </w:r>
      <w:r>
        <w:t xml:space="preserve"> un quarto delle </w:t>
      </w:r>
      <w:r w:rsidR="00A34F8C">
        <w:t xml:space="preserve">imprese </w:t>
      </w:r>
      <w:r>
        <w:t>rispondenti ha programma</w:t>
      </w:r>
      <w:r w:rsidR="00A34F8C">
        <w:t>to</w:t>
      </w:r>
      <w:r>
        <w:t xml:space="preserve"> l’acquisto di nuovi impianti</w:t>
      </w:r>
      <w:r w:rsidR="00A34F8C">
        <w:t>, un dato in crescita.</w:t>
      </w:r>
      <w:r>
        <w:t xml:space="preserve"> </w:t>
      </w:r>
      <w:r w:rsidR="00BE6676">
        <w:t>In questo quadro, l</w:t>
      </w:r>
      <w:r>
        <w:t xml:space="preserve">’indice di utilizzo di impianti e risorse </w:t>
      </w:r>
      <w:r w:rsidR="00A34F8C">
        <w:t xml:space="preserve">resta stabile </w:t>
      </w:r>
      <w:r>
        <w:t>al 77%</w:t>
      </w:r>
      <w:r w:rsidR="00BE6676">
        <w:t xml:space="preserve"> mentre si riduce il ricorso alla CIG, attivata dal 10,5% dei partecipanti all’indagine, percentuale che cresce nel manifatturiero, dove sale al 14,1%.</w:t>
      </w:r>
      <w:r>
        <w:t xml:space="preserve"> </w:t>
      </w:r>
    </w:p>
    <w:p w14:paraId="5EAFCF5B" w14:textId="0BFC9ABF" w:rsidR="00A34F8C" w:rsidRDefault="00AC3EC4" w:rsidP="007100EF">
      <w:pPr>
        <w:jc w:val="both"/>
      </w:pPr>
      <w:r>
        <w:t>“</w:t>
      </w:r>
      <w:r w:rsidRPr="007100EF">
        <w:rPr>
          <w:i/>
          <w:iCs/>
        </w:rPr>
        <w:t xml:space="preserve">I dati congiunturali relativi al secondo trimestre del 2025 sorprendono in positivo, segnalando una tenuta migliore delle attese per l’economia piemontese. Un risultato tutt’altro che scontato, soprattutto </w:t>
      </w:r>
      <w:r w:rsidR="00352898">
        <w:rPr>
          <w:i/>
          <w:iCs/>
        </w:rPr>
        <w:t xml:space="preserve">dopo mesi di annunci sui dazi </w:t>
      </w:r>
      <w:r w:rsidRPr="007100EF">
        <w:rPr>
          <w:i/>
          <w:iCs/>
        </w:rPr>
        <w:t xml:space="preserve">che </w:t>
      </w:r>
      <w:r w:rsidR="00352898">
        <w:rPr>
          <w:i/>
          <w:iCs/>
        </w:rPr>
        <w:t>espongono a notevoli rischi il nostro</w:t>
      </w:r>
      <w:r w:rsidRPr="007100EF">
        <w:rPr>
          <w:i/>
          <w:iCs/>
        </w:rPr>
        <w:t xml:space="preserve"> export. </w:t>
      </w:r>
      <w:r w:rsidR="00352898">
        <w:rPr>
          <w:i/>
          <w:iCs/>
        </w:rPr>
        <w:t xml:space="preserve">L’andamento che registriamo dalle risposte che compongono questa indagine </w:t>
      </w:r>
      <w:r w:rsidRPr="007100EF">
        <w:rPr>
          <w:i/>
          <w:iCs/>
        </w:rPr>
        <w:t>conferma</w:t>
      </w:r>
      <w:r w:rsidR="00352898">
        <w:rPr>
          <w:i/>
          <w:iCs/>
        </w:rPr>
        <w:t>,</w:t>
      </w:r>
      <w:r w:rsidRPr="007100EF">
        <w:rPr>
          <w:i/>
          <w:iCs/>
        </w:rPr>
        <w:t xml:space="preserve"> </w:t>
      </w:r>
      <w:r w:rsidR="00352898">
        <w:rPr>
          <w:i/>
          <w:iCs/>
        </w:rPr>
        <w:t>invece,</w:t>
      </w:r>
      <w:r w:rsidRPr="007100EF">
        <w:rPr>
          <w:i/>
          <w:iCs/>
        </w:rPr>
        <w:t xml:space="preserve"> la resilienza del nostro sistema produttivo, capace di adattarsi rapidamente a scenari </w:t>
      </w:r>
      <w:r w:rsidR="00352898">
        <w:rPr>
          <w:i/>
          <w:iCs/>
        </w:rPr>
        <w:t xml:space="preserve">altamente </w:t>
      </w:r>
      <w:r w:rsidRPr="007100EF">
        <w:rPr>
          <w:i/>
          <w:iCs/>
        </w:rPr>
        <w:t xml:space="preserve">complessi grazie alla forza delle filiere, alla qualità del </w:t>
      </w:r>
      <w:r w:rsidR="00352898">
        <w:rPr>
          <w:i/>
          <w:iCs/>
        </w:rPr>
        <w:t>‘</w:t>
      </w:r>
      <w:r w:rsidRPr="007100EF">
        <w:rPr>
          <w:i/>
          <w:iCs/>
        </w:rPr>
        <w:t>Made in</w:t>
      </w:r>
      <w:r w:rsidR="00352898">
        <w:rPr>
          <w:i/>
          <w:iCs/>
        </w:rPr>
        <w:t>’</w:t>
      </w:r>
      <w:r w:rsidRPr="007100EF">
        <w:rPr>
          <w:i/>
          <w:iCs/>
        </w:rPr>
        <w:t xml:space="preserve"> e alla capacità di presidiare mercati strategici </w:t>
      </w:r>
      <w:r w:rsidR="00352898">
        <w:rPr>
          <w:i/>
          <w:iCs/>
        </w:rPr>
        <w:t>a livello globale</w:t>
      </w:r>
      <w:r w:rsidRPr="007100EF">
        <w:rPr>
          <w:i/>
          <w:iCs/>
        </w:rPr>
        <w:t xml:space="preserve">. </w:t>
      </w:r>
      <w:r w:rsidR="00352898">
        <w:rPr>
          <w:i/>
          <w:iCs/>
        </w:rPr>
        <w:t>Si tratta di</w:t>
      </w:r>
      <w:r w:rsidRPr="007100EF">
        <w:rPr>
          <w:i/>
          <w:iCs/>
        </w:rPr>
        <w:t xml:space="preserve"> un segnale importante, che va colto per continuare a investire, innovare e rafforzare la competitività</w:t>
      </w:r>
      <w:r w:rsidR="00352898">
        <w:rPr>
          <w:i/>
          <w:iCs/>
        </w:rPr>
        <w:t xml:space="preserve"> per</w:t>
      </w:r>
      <w:r w:rsidRPr="007100EF">
        <w:rPr>
          <w:i/>
          <w:iCs/>
        </w:rPr>
        <w:t xml:space="preserve"> trasformare </w:t>
      </w:r>
      <w:r w:rsidR="00352898">
        <w:rPr>
          <w:i/>
          <w:iCs/>
        </w:rPr>
        <w:t>quest</w:t>
      </w:r>
      <w:r w:rsidRPr="007100EF">
        <w:rPr>
          <w:i/>
          <w:iCs/>
        </w:rPr>
        <w:t>a ripresa in crescita strutturale</w:t>
      </w:r>
      <w:r>
        <w:t xml:space="preserve">” commenta </w:t>
      </w:r>
      <w:r w:rsidRPr="00352898">
        <w:rPr>
          <w:b/>
          <w:bCs/>
        </w:rPr>
        <w:t>Andrea Amalberto</w:t>
      </w:r>
      <w:r>
        <w:t>, presidente di Confindustria Piemonte.</w:t>
      </w:r>
    </w:p>
    <w:p w14:paraId="3F12887A" w14:textId="0E6F581C" w:rsidR="00AF4F17" w:rsidRDefault="00BE6676" w:rsidP="007100EF">
      <w:pPr>
        <w:jc w:val="both"/>
      </w:pPr>
      <w:r>
        <w:t>Tornando a</w:t>
      </w:r>
      <w:r w:rsidR="00AF4F17">
        <w:t>i dati complessivi</w:t>
      </w:r>
      <w:r w:rsidR="0094304D">
        <w:t>,</w:t>
      </w:r>
      <w:r w:rsidR="00AF4F17">
        <w:t xml:space="preserve"> sono la sintesi di andamenti settoriali differenziati. Infatti, se da un lato nel comparto manifatturiero si rileva una certa prudenza (per la produzione, saldo fra ottimisti/pessimisti al +1,7%), dall’altro il terziario prosegue la crescita avviata dalla pandemia in poi (saldo al +10,4%), anche in virtù di una bassa incidenza dell’export che preserva maggiormente il mercato dei servizi dalle tensioni internazionali.</w:t>
      </w:r>
      <w:r w:rsidR="0094304D">
        <w:t xml:space="preserve"> </w:t>
      </w:r>
      <w:r w:rsidR="00AF4F17">
        <w:t xml:space="preserve">Guardando ai singoli settori, nell’industria si registrano previsioni non omogenee sull’andamento della produzione. In particolare, migliorano le attese per cartario grafico (+24,1%), edilizia e impiantisti (+15,3%), chimica (+10,4%) e tessile-abbigliamento (+5,9%). Resta negativa la metalmeccanica: il saldo fra chi prevede una riduzione dei </w:t>
      </w:r>
      <w:r w:rsidR="00AF4F17">
        <w:lastRenderedPageBreak/>
        <w:t>volumi nel trimestre e chi si attende un andamento stabile o in crescita, è al -6,1%, che diventa</w:t>
      </w:r>
      <w:r w:rsidR="00004B9B">
        <w:t xml:space="preserve"> -</w:t>
      </w:r>
      <w:r w:rsidR="00AF4F17">
        <w:t xml:space="preserve">24,6% per le realtà </w:t>
      </w:r>
      <w:proofErr w:type="spellStart"/>
      <w:r w:rsidR="00AF4F17">
        <w:t>dell’automotive</w:t>
      </w:r>
      <w:proofErr w:type="spellEnd"/>
      <w:r w:rsidR="00AF4F17">
        <w:t xml:space="preserve"> e</w:t>
      </w:r>
      <w:r w:rsidR="00004B9B">
        <w:t xml:space="preserve"> </w:t>
      </w:r>
      <w:r w:rsidR="00AF4F17">
        <w:t xml:space="preserve">-2,7% per quelle della meccatronica. Nel terziario tutti i comparti esprimono attese favorevoli, pur con diversa intensità. Particolarmente positive le attese per </w:t>
      </w:r>
      <w:r w:rsidR="00004B9B">
        <w:t>l’</w:t>
      </w:r>
      <w:r w:rsidR="00AF4F17">
        <w:t>ICT (+23,0%).</w:t>
      </w:r>
    </w:p>
    <w:p w14:paraId="0673992D" w14:textId="50631C32" w:rsidR="0094304D" w:rsidRDefault="0094304D" w:rsidP="007100EF">
      <w:pPr>
        <w:jc w:val="both"/>
      </w:pPr>
      <w:r>
        <w:t>In termini dimensionali, si conferma la tradizionale forbice che vede le grandi imprese esprimere attese maggiormente positive rispetto alle altre: fra le realtà con meno di 50 dipendenti l’indice di fiducia sulla produzione è al +3,2%, mentre fra quelle con 50 o più addetti si attesta al +7,2%. Com’è facilmente intuibile, la positività delle attese è inversamente proporzionale alla quota di export sul fatturato: le aziende che esportano poco hanno attese sulla produzione più ottimistiche (+7,3% per le aziende che esportano una quota inferiore al 10% del fatturato e +5,1% per quelle che inviano all’estero dal 10 al 30% del fatturato) rispetto a quelle che esportano una quota maggiore di merci (-2,1% per quelle che esportano dal 30 al 60% e -0,5% per quelle che esportano oltre il 60% del prodotto). A livello generale, aumentano le aziende che temono una crescita di costi energetici, materie prime e logistica, con tempi di pagamento che restano stabili e un aumento del numero di imprese con un carnet ordini di medio-lungo periodo.</w:t>
      </w:r>
    </w:p>
    <w:p w14:paraId="1541D35A" w14:textId="186F7C71" w:rsidR="00550CC8" w:rsidRDefault="00AF4F17" w:rsidP="007100EF">
      <w:pPr>
        <w:jc w:val="both"/>
      </w:pPr>
      <w:r>
        <w:t>Su scala territoriale si osservano andamenti differenziati. Le attese sulla produzione si presentano sopra la media regionale a Verbania (15,7%), Asti (11,4%), Cuneo (+6,7%)</w:t>
      </w:r>
      <w:r w:rsidR="00A830BC">
        <w:t xml:space="preserve">, </w:t>
      </w:r>
      <w:r>
        <w:t>Biella, che torna positiva dopo 7 trimestri (+7,5%)</w:t>
      </w:r>
      <w:r w:rsidR="00A830BC">
        <w:t xml:space="preserve"> e Torino (4,5%)</w:t>
      </w:r>
      <w:r>
        <w:t>. Prudenti ma ancora positive le attese ad Alessandria</w:t>
      </w:r>
      <w:r w:rsidR="00A830BC">
        <w:t xml:space="preserve"> e</w:t>
      </w:r>
      <w:r>
        <w:t xml:space="preserve"> Novara (rispettivamente +3,5% </w:t>
      </w:r>
      <w:r w:rsidR="00A830BC">
        <w:t xml:space="preserve">e </w:t>
      </w:r>
      <w:r>
        <w:t>+2,5%). Negativi i saldi per Vercelli (-4,8%) e Canavese (-7,1%).</w:t>
      </w:r>
      <w:r w:rsidR="00550CC8">
        <w:t xml:space="preserve"> Focalizzandosi su Torino, per il secondo trimestre 2025, il 22,2% delle aziende torinesi prevede un aumento della produzione, contro il 17,6% che si attende una diminuzione: il saldo, pari a +4,5%, migliora rispetto a quello del I trimestre (+0,3%). Nella manifattura il saldo ottimisti/pessimisti è negativo (-1,8%), a causa dell’aggravarsi della crisi del comparto automotive e dell’aumento dell’incertezza per il futuro del settore. Per gli ordinativi, il saldo è del +1,6%, in miglioramento di 3,7 punti rispetto alla scorsa rilevazione. Positive le attese sull’occupazione, che registrano un bilancio pari a +4,3%. Buona la propensione a investire in nuovi impianti</w:t>
      </w:r>
      <w:r w:rsidR="00004B9B">
        <w:t xml:space="preserve">: </w:t>
      </w:r>
      <w:r w:rsidR="00550CC8">
        <w:t xml:space="preserve">il 23% di imprese </w:t>
      </w:r>
      <w:r w:rsidR="00004B9B">
        <w:t>ha</w:t>
      </w:r>
      <w:r w:rsidR="00550CC8">
        <w:t xml:space="preserve"> programmi di spesa significativi. Si assesta il ricorso alla cassa integrazione, che interessa l’11,1% delle imprese (il 16,9% nell’industria). Cala leggermente il tasso di utilizzo di impianti e risorse (76%), che rimane sui valori medi di lungo periodo. Come a livello regionale, nel capoluogo si registrano attese negative per le esportazioni (-4,7% il saldo ottimisti/pessimisti).</w:t>
      </w:r>
    </w:p>
    <w:p w14:paraId="5A6FEB8C" w14:textId="0F0C8F10" w:rsidR="009D37A2" w:rsidRPr="00550CC8" w:rsidRDefault="009D37A2" w:rsidP="007100EF">
      <w:pPr>
        <w:spacing w:after="0"/>
        <w:jc w:val="both"/>
        <w:rPr>
          <w:sz w:val="22"/>
          <w:szCs w:val="22"/>
        </w:rPr>
      </w:pPr>
    </w:p>
    <w:p w14:paraId="75012152" w14:textId="0D2B03AB" w:rsidR="00550CC8" w:rsidRPr="00550CC8" w:rsidRDefault="00550CC8" w:rsidP="007100EF">
      <w:pPr>
        <w:spacing w:after="0"/>
        <w:jc w:val="both"/>
        <w:rPr>
          <w:sz w:val="22"/>
          <w:szCs w:val="22"/>
        </w:rPr>
      </w:pPr>
      <w:r w:rsidRPr="00550CC8">
        <w:rPr>
          <w:sz w:val="22"/>
          <w:szCs w:val="22"/>
        </w:rPr>
        <w:t>Ufficio stampa Confindustria Piemonte</w:t>
      </w:r>
    </w:p>
    <w:p w14:paraId="7E7DB451" w14:textId="1933AA1C" w:rsidR="00550CC8" w:rsidRPr="00550CC8" w:rsidRDefault="00550CC8" w:rsidP="007100EF">
      <w:pPr>
        <w:spacing w:after="0"/>
        <w:jc w:val="both"/>
        <w:rPr>
          <w:sz w:val="22"/>
          <w:szCs w:val="22"/>
        </w:rPr>
      </w:pPr>
      <w:r w:rsidRPr="00550CC8">
        <w:rPr>
          <w:sz w:val="22"/>
          <w:szCs w:val="22"/>
        </w:rPr>
        <w:t xml:space="preserve">Isabella Antonetto </w:t>
      </w:r>
      <w:hyperlink r:id="rId6" w:history="1">
        <w:r w:rsidRPr="00550CC8">
          <w:rPr>
            <w:rStyle w:val="Collegamentoipertestuale"/>
            <w:sz w:val="22"/>
            <w:szCs w:val="22"/>
          </w:rPr>
          <w:t>media@confindustria.piemonte.it</w:t>
        </w:r>
      </w:hyperlink>
    </w:p>
    <w:p w14:paraId="6C422F85" w14:textId="1E1B3FA4" w:rsidR="00550CC8" w:rsidRPr="00550CC8" w:rsidRDefault="00550CC8" w:rsidP="007100EF">
      <w:pPr>
        <w:spacing w:after="0"/>
        <w:jc w:val="both"/>
        <w:rPr>
          <w:sz w:val="22"/>
          <w:szCs w:val="22"/>
        </w:rPr>
      </w:pPr>
      <w:r w:rsidRPr="00550CC8">
        <w:rPr>
          <w:sz w:val="22"/>
          <w:szCs w:val="22"/>
        </w:rPr>
        <w:t>Jan Pellissier 347 7845273</w:t>
      </w:r>
    </w:p>
    <w:sectPr w:rsidR="00550CC8" w:rsidRPr="00550CC8" w:rsidSect="0094304D">
      <w:headerReference w:type="default" r:id="rId7"/>
      <w:pgSz w:w="11906" w:h="16838"/>
      <w:pgMar w:top="1858" w:right="1134" w:bottom="1134" w:left="1134" w:header="10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252CB" w14:textId="77777777" w:rsidR="0068191F" w:rsidRDefault="0068191F" w:rsidP="00AF4F17">
      <w:pPr>
        <w:spacing w:after="0" w:line="240" w:lineRule="auto"/>
      </w:pPr>
      <w:r>
        <w:separator/>
      </w:r>
    </w:p>
  </w:endnote>
  <w:endnote w:type="continuationSeparator" w:id="0">
    <w:p w14:paraId="0091AC60" w14:textId="77777777" w:rsidR="0068191F" w:rsidRDefault="0068191F" w:rsidP="00AF4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7C453" w14:textId="77777777" w:rsidR="0068191F" w:rsidRDefault="0068191F" w:rsidP="00AF4F17">
      <w:pPr>
        <w:spacing w:after="0" w:line="240" w:lineRule="auto"/>
      </w:pPr>
      <w:r>
        <w:separator/>
      </w:r>
    </w:p>
  </w:footnote>
  <w:footnote w:type="continuationSeparator" w:id="0">
    <w:p w14:paraId="5EE2F1EE" w14:textId="77777777" w:rsidR="0068191F" w:rsidRDefault="0068191F" w:rsidP="00AF4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6C071" w14:textId="1FEAB774" w:rsidR="00AF4F17" w:rsidRDefault="00AF4F17" w:rsidP="00AF4F17">
    <w:pPr>
      <w:pStyle w:val="Intestazione"/>
    </w:pPr>
    <w:r>
      <w:tab/>
    </w:r>
    <w:r>
      <w:rPr>
        <w:noProof/>
      </w:rPr>
      <w:drawing>
        <wp:inline distT="0" distB="0" distL="0" distR="0" wp14:anchorId="4CC2421B" wp14:editId="536EEF88">
          <wp:extent cx="1371600" cy="1178418"/>
          <wp:effectExtent l="0" t="0" r="0" b="3175"/>
          <wp:docPr id="168628121" name="Immagine 2" descr="Immagine che contiene Carattere, Elementi grafici, logo, bian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8121" name="Immagine 2" descr="Immagine che contiene Carattere, Elementi grafici, logo, bianco&#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1413063" cy="1214041"/>
                  </a:xfrm>
                  <a:prstGeom prst="rect">
                    <a:avLst/>
                  </a:prstGeom>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F17"/>
    <w:rsid w:val="00004B9B"/>
    <w:rsid w:val="000C303A"/>
    <w:rsid w:val="001B5995"/>
    <w:rsid w:val="00214155"/>
    <w:rsid w:val="002F2830"/>
    <w:rsid w:val="003428E7"/>
    <w:rsid w:val="00352898"/>
    <w:rsid w:val="003C1F07"/>
    <w:rsid w:val="003D1B3A"/>
    <w:rsid w:val="004017CC"/>
    <w:rsid w:val="004035E9"/>
    <w:rsid w:val="00406CE6"/>
    <w:rsid w:val="00550CC8"/>
    <w:rsid w:val="00592C5E"/>
    <w:rsid w:val="005E164C"/>
    <w:rsid w:val="0068191F"/>
    <w:rsid w:val="006911FC"/>
    <w:rsid w:val="007100EF"/>
    <w:rsid w:val="007814AA"/>
    <w:rsid w:val="00782F98"/>
    <w:rsid w:val="007A4D14"/>
    <w:rsid w:val="009419B7"/>
    <w:rsid w:val="0094304D"/>
    <w:rsid w:val="0096736E"/>
    <w:rsid w:val="009D37A2"/>
    <w:rsid w:val="00A34F8C"/>
    <w:rsid w:val="00A830BC"/>
    <w:rsid w:val="00AC3EC4"/>
    <w:rsid w:val="00AD70E1"/>
    <w:rsid w:val="00AF4F17"/>
    <w:rsid w:val="00B00046"/>
    <w:rsid w:val="00B029BA"/>
    <w:rsid w:val="00B84C90"/>
    <w:rsid w:val="00BB236C"/>
    <w:rsid w:val="00BC3882"/>
    <w:rsid w:val="00BE6676"/>
    <w:rsid w:val="00CE1C79"/>
    <w:rsid w:val="00CE2C43"/>
    <w:rsid w:val="00DE6735"/>
    <w:rsid w:val="00F075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FD387"/>
  <w15:chartTrackingRefBased/>
  <w15:docId w15:val="{80A3AB30-FEC3-C94C-8135-FFA7AB6D8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F4F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F4F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F4F1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F4F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F4F17"/>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AF4F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AF4F17"/>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AF4F17"/>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AF4F17"/>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F4F1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F4F1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F4F17"/>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F4F17"/>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AF4F17"/>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AF4F17"/>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AF4F17"/>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AF4F17"/>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AF4F17"/>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AF4F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F4F1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F4F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F4F17"/>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F4F1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F4F17"/>
    <w:rPr>
      <w:i/>
      <w:iCs/>
      <w:color w:val="404040" w:themeColor="text1" w:themeTint="BF"/>
    </w:rPr>
  </w:style>
  <w:style w:type="paragraph" w:styleId="Paragrafoelenco">
    <w:name w:val="List Paragraph"/>
    <w:basedOn w:val="Normale"/>
    <w:uiPriority w:val="34"/>
    <w:qFormat/>
    <w:rsid w:val="00AF4F17"/>
    <w:pPr>
      <w:ind w:left="720"/>
      <w:contextualSpacing/>
    </w:pPr>
  </w:style>
  <w:style w:type="character" w:styleId="Enfasiintensa">
    <w:name w:val="Intense Emphasis"/>
    <w:basedOn w:val="Carpredefinitoparagrafo"/>
    <w:uiPriority w:val="21"/>
    <w:qFormat/>
    <w:rsid w:val="00AF4F17"/>
    <w:rPr>
      <w:i/>
      <w:iCs/>
      <w:color w:val="0F4761" w:themeColor="accent1" w:themeShade="BF"/>
    </w:rPr>
  </w:style>
  <w:style w:type="paragraph" w:styleId="Citazioneintensa">
    <w:name w:val="Intense Quote"/>
    <w:basedOn w:val="Normale"/>
    <w:next w:val="Normale"/>
    <w:link w:val="CitazioneintensaCarattere"/>
    <w:uiPriority w:val="30"/>
    <w:qFormat/>
    <w:rsid w:val="00AF4F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F4F17"/>
    <w:rPr>
      <w:i/>
      <w:iCs/>
      <w:color w:val="0F4761" w:themeColor="accent1" w:themeShade="BF"/>
    </w:rPr>
  </w:style>
  <w:style w:type="character" w:styleId="Riferimentointenso">
    <w:name w:val="Intense Reference"/>
    <w:basedOn w:val="Carpredefinitoparagrafo"/>
    <w:uiPriority w:val="32"/>
    <w:qFormat/>
    <w:rsid w:val="00AF4F17"/>
    <w:rPr>
      <w:b/>
      <w:bCs/>
      <w:smallCaps/>
      <w:color w:val="0F4761" w:themeColor="accent1" w:themeShade="BF"/>
      <w:spacing w:val="5"/>
    </w:rPr>
  </w:style>
  <w:style w:type="paragraph" w:styleId="Intestazione">
    <w:name w:val="header"/>
    <w:basedOn w:val="Normale"/>
    <w:link w:val="IntestazioneCarattere"/>
    <w:uiPriority w:val="99"/>
    <w:unhideWhenUsed/>
    <w:rsid w:val="00AF4F1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F4F17"/>
  </w:style>
  <w:style w:type="paragraph" w:styleId="Pidipagina">
    <w:name w:val="footer"/>
    <w:basedOn w:val="Normale"/>
    <w:link w:val="PidipaginaCarattere"/>
    <w:uiPriority w:val="99"/>
    <w:unhideWhenUsed/>
    <w:rsid w:val="00AF4F1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F4F17"/>
  </w:style>
  <w:style w:type="character" w:styleId="Collegamentoipertestuale">
    <w:name w:val="Hyperlink"/>
    <w:basedOn w:val="Carpredefinitoparagrafo"/>
    <w:uiPriority w:val="99"/>
    <w:unhideWhenUsed/>
    <w:rsid w:val="00550CC8"/>
    <w:rPr>
      <w:color w:val="467886" w:themeColor="hyperlink"/>
      <w:u w:val="single"/>
    </w:rPr>
  </w:style>
  <w:style w:type="character" w:styleId="Menzionenonrisolta">
    <w:name w:val="Unresolved Mention"/>
    <w:basedOn w:val="Carpredefinitoparagrafo"/>
    <w:uiPriority w:val="99"/>
    <w:semiHidden/>
    <w:unhideWhenUsed/>
    <w:rsid w:val="00550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961</Words>
  <Characters>5460</Characters>
  <Application>Microsoft Office Word</Application>
  <DocSecurity>0</DocSecurity>
  <Lines>70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2</cp:revision>
  <dcterms:created xsi:type="dcterms:W3CDTF">2025-04-11T12:51:00Z</dcterms:created>
  <dcterms:modified xsi:type="dcterms:W3CDTF">2025-04-11T12:51:00Z</dcterms:modified>
</cp:coreProperties>
</file>