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B79C2" w14:textId="77777777" w:rsidR="00D061B9" w:rsidRPr="00987A76" w:rsidRDefault="00C44989" w:rsidP="004C6FBC">
      <w:pPr>
        <w:jc w:val="center"/>
        <w:rPr>
          <w:rFonts w:ascii="Calibri Light" w:hAnsi="Calibri Light" w:cs="Calibri Light"/>
          <w:b/>
          <w:bCs/>
          <w:color w:val="auto"/>
          <w:spacing w:val="-6"/>
        </w:rPr>
      </w:pPr>
      <w:r w:rsidRPr="00987A76">
        <w:rPr>
          <w:rFonts w:ascii="Calibri Light" w:hAnsi="Calibri Light" w:cs="Calibri Light"/>
          <w:b/>
          <w:bCs/>
          <w:color w:val="auto"/>
          <w:spacing w:val="-6"/>
        </w:rPr>
        <w:t xml:space="preserve">AVVIO D’ANNO COMPLESSO </w:t>
      </w:r>
      <w:r w:rsidR="00946032" w:rsidRPr="00987A76">
        <w:rPr>
          <w:rFonts w:ascii="Calibri Light" w:hAnsi="Calibri Light" w:cs="Calibri Light"/>
          <w:b/>
          <w:bCs/>
          <w:color w:val="auto"/>
          <w:spacing w:val="-6"/>
        </w:rPr>
        <w:t>NELLE ATTESE DEL</w:t>
      </w:r>
      <w:r w:rsidR="004C6FBC" w:rsidRPr="00987A76">
        <w:rPr>
          <w:rFonts w:ascii="Calibri Light" w:hAnsi="Calibri Light" w:cs="Calibri Light"/>
          <w:b/>
          <w:bCs/>
          <w:color w:val="auto"/>
          <w:spacing w:val="-6"/>
        </w:rPr>
        <w:t>LE IMPRESE PIEMONTESI</w:t>
      </w:r>
    </w:p>
    <w:p w14:paraId="22C20F66" w14:textId="09D57142" w:rsidR="00987A76" w:rsidRDefault="004C6FBC" w:rsidP="00987A76">
      <w:pPr>
        <w:spacing w:after="240"/>
        <w:jc w:val="center"/>
        <w:rPr>
          <w:rFonts w:ascii="Calibri Light" w:hAnsi="Calibri Light" w:cs="Calibri Light"/>
          <w:b/>
          <w:bCs/>
          <w:color w:val="auto"/>
        </w:rPr>
      </w:pPr>
      <w:r w:rsidRPr="00987A76">
        <w:rPr>
          <w:rFonts w:ascii="Calibri Light" w:hAnsi="Calibri Light" w:cs="Calibri Light"/>
          <w:b/>
          <w:bCs/>
          <w:color w:val="auto"/>
        </w:rPr>
        <w:t>STABILI OCCUPAZIONE E INVESTIMENT</w:t>
      </w:r>
      <w:r w:rsidR="00C64250" w:rsidRPr="00987A76">
        <w:rPr>
          <w:rFonts w:ascii="Calibri Light" w:hAnsi="Calibri Light" w:cs="Calibri Light"/>
          <w:b/>
          <w:bCs/>
          <w:color w:val="auto"/>
        </w:rPr>
        <w:t>I</w:t>
      </w:r>
      <w:r w:rsidRPr="00987A76">
        <w:rPr>
          <w:rFonts w:ascii="Calibri Light" w:hAnsi="Calibri Light" w:cs="Calibri Light"/>
          <w:b/>
          <w:bCs/>
          <w:color w:val="auto"/>
        </w:rPr>
        <w:t>,</w:t>
      </w:r>
      <w:r w:rsidR="00785BE0" w:rsidRPr="00987A76">
        <w:rPr>
          <w:rFonts w:ascii="Calibri Light" w:hAnsi="Calibri Light" w:cs="Calibri Light"/>
          <w:b/>
          <w:bCs/>
          <w:color w:val="auto"/>
        </w:rPr>
        <w:t xml:space="preserve"> </w:t>
      </w:r>
      <w:r w:rsidRPr="00987A76">
        <w:rPr>
          <w:rFonts w:ascii="Calibri Light" w:hAnsi="Calibri Light" w:cs="Calibri Light"/>
          <w:b/>
          <w:bCs/>
          <w:color w:val="auto"/>
        </w:rPr>
        <w:t>RALLENTA LA PRODUZIONE</w:t>
      </w:r>
    </w:p>
    <w:p w14:paraId="6D41049E" w14:textId="67FD89C2" w:rsidR="00987A76" w:rsidRPr="00987A76" w:rsidRDefault="00987A76" w:rsidP="00987A76">
      <w:pPr>
        <w:spacing w:after="240"/>
        <w:jc w:val="center"/>
        <w:rPr>
          <w:rFonts w:ascii="Calibri Light" w:hAnsi="Calibri Light" w:cs="Calibri Light"/>
          <w:i/>
          <w:iCs/>
          <w:color w:val="auto"/>
          <w:sz w:val="24"/>
          <w:szCs w:val="24"/>
        </w:rPr>
      </w:pPr>
      <w:r w:rsidRPr="00987A76">
        <w:rPr>
          <w:rFonts w:ascii="Calibri Light" w:hAnsi="Calibri Light" w:cs="Calibri Light"/>
          <w:i/>
          <w:iCs/>
          <w:color w:val="auto"/>
          <w:sz w:val="24"/>
          <w:szCs w:val="24"/>
        </w:rPr>
        <w:t xml:space="preserve">L’indagine congiunturale </w:t>
      </w:r>
      <w:r>
        <w:rPr>
          <w:rFonts w:ascii="Calibri Light" w:hAnsi="Calibri Light" w:cs="Calibri Light"/>
          <w:i/>
          <w:iCs/>
          <w:color w:val="auto"/>
          <w:sz w:val="24"/>
          <w:szCs w:val="24"/>
        </w:rPr>
        <w:t>relativa al primo trimestre 2025 evidenzia un quadro incerto</w:t>
      </w:r>
      <w:r>
        <w:rPr>
          <w:rFonts w:ascii="Calibri Light" w:hAnsi="Calibri Light" w:cs="Calibri Light"/>
          <w:i/>
          <w:iCs/>
          <w:color w:val="auto"/>
          <w:sz w:val="24"/>
          <w:szCs w:val="24"/>
        </w:rPr>
        <w:br/>
        <w:t>con la manifattura più in difficoltà rispetto ai servizi. Timori per il costo dell’energia.</w:t>
      </w:r>
      <w:r>
        <w:rPr>
          <w:rFonts w:ascii="Calibri Light" w:hAnsi="Calibri Light" w:cs="Calibri Light"/>
          <w:i/>
          <w:iCs/>
          <w:color w:val="auto"/>
          <w:sz w:val="24"/>
          <w:szCs w:val="24"/>
        </w:rPr>
        <w:br/>
        <w:t>Amalberto: “</w:t>
      </w:r>
      <w:r w:rsidR="00511E1F">
        <w:rPr>
          <w:rFonts w:ascii="Calibri Light" w:hAnsi="Calibri Light" w:cs="Calibri Light"/>
          <w:i/>
          <w:iCs/>
          <w:color w:val="auto"/>
          <w:sz w:val="24"/>
          <w:szCs w:val="24"/>
        </w:rPr>
        <w:t xml:space="preserve">Investimenti privati, Pnrr e credito sono le </w:t>
      </w:r>
      <w:r w:rsidR="00511E1F" w:rsidRPr="00987A76">
        <w:rPr>
          <w:rFonts w:ascii="Calibri Light" w:hAnsi="Calibri Light" w:cs="Calibri Light"/>
          <w:bCs/>
          <w:i/>
          <w:iCs/>
          <w:color w:val="auto"/>
          <w:spacing w:val="2"/>
          <w:sz w:val="24"/>
          <w:szCs w:val="24"/>
        </w:rPr>
        <w:t>premess</w:t>
      </w:r>
      <w:r w:rsidR="00511E1F">
        <w:rPr>
          <w:rFonts w:ascii="Calibri Light" w:hAnsi="Calibri Light" w:cs="Calibri Light"/>
          <w:bCs/>
          <w:i/>
          <w:iCs/>
          <w:color w:val="auto"/>
          <w:spacing w:val="2"/>
          <w:sz w:val="24"/>
          <w:szCs w:val="24"/>
        </w:rPr>
        <w:t>e</w:t>
      </w:r>
      <w:r w:rsidR="00511E1F" w:rsidRPr="00987A76">
        <w:rPr>
          <w:rFonts w:ascii="Calibri Light" w:hAnsi="Calibri Light" w:cs="Calibri Light"/>
          <w:bCs/>
          <w:i/>
          <w:iCs/>
          <w:color w:val="auto"/>
          <w:spacing w:val="2"/>
          <w:sz w:val="24"/>
          <w:szCs w:val="24"/>
        </w:rPr>
        <w:t xml:space="preserve"> per tornare a crescere</w:t>
      </w:r>
      <w:r w:rsidR="00511E1F">
        <w:rPr>
          <w:rFonts w:ascii="Calibri Light" w:hAnsi="Calibri Light" w:cs="Calibri Light"/>
          <w:bCs/>
          <w:i/>
          <w:iCs/>
          <w:color w:val="auto"/>
          <w:spacing w:val="2"/>
          <w:sz w:val="24"/>
          <w:szCs w:val="24"/>
        </w:rPr>
        <w:t>”</w:t>
      </w:r>
    </w:p>
    <w:p w14:paraId="64A32DAB" w14:textId="6A54DF6F" w:rsidR="0049580E" w:rsidRPr="00987A76" w:rsidRDefault="00987A76" w:rsidP="00987A76">
      <w:pPr>
        <w:spacing w:after="80" w:line="276" w:lineRule="auto"/>
        <w:jc w:val="right"/>
        <w:rPr>
          <w:rFonts w:ascii="Calibri Light" w:hAnsi="Calibri Light" w:cs="Calibri Light"/>
          <w:bCs/>
          <w:color w:val="auto"/>
          <w:spacing w:val="2"/>
          <w:sz w:val="22"/>
          <w:szCs w:val="22"/>
        </w:rPr>
      </w:pPr>
      <w:r w:rsidRPr="00987A76">
        <w:rPr>
          <w:rFonts w:ascii="Calibri Light" w:hAnsi="Calibri Light" w:cs="Calibri Light"/>
          <w:bCs/>
          <w:color w:val="auto"/>
          <w:spacing w:val="2"/>
          <w:sz w:val="22"/>
          <w:szCs w:val="22"/>
        </w:rPr>
        <w:t>Torino, 13 gennaio 2025</w:t>
      </w:r>
    </w:p>
    <w:p w14:paraId="38FFF352" w14:textId="64929914" w:rsidR="005D18BE" w:rsidRDefault="00664C37" w:rsidP="006A7CDC">
      <w:pPr>
        <w:spacing w:after="80" w:line="276" w:lineRule="auto"/>
        <w:rPr>
          <w:rFonts w:ascii="Calibri Light" w:hAnsi="Calibri Light" w:cs="Calibri Light"/>
          <w:bCs/>
          <w:color w:val="auto"/>
          <w:spacing w:val="2"/>
          <w:sz w:val="24"/>
          <w:szCs w:val="24"/>
        </w:rPr>
      </w:pP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Dall’indagine congiunturale realizzata a dicembre dal Centro Studi dell’Unione Industriali Torino tra un campione di quasi 1.300 aziende manifatturiere e dei servizi del sistema confindustriale piemontese</w:t>
      </w:r>
      <w:r w:rsidR="00AA64FF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, emergono </w:t>
      </w:r>
      <w:r w:rsidR="005C446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dati che riflettono la </w:t>
      </w:r>
      <w:r w:rsidR="005C446E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complessità dello scenario economico</w:t>
      </w:r>
      <w:r w:rsidR="005C446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nazionale ed europeo, con un </w:t>
      </w:r>
      <w:r w:rsidR="005C446E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clima di fiducia che si conferma in fase di contrazione</w:t>
      </w:r>
      <w:r w:rsidR="005C446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e in linea con l’andamento dei trimestri precedenti</w:t>
      </w:r>
      <w:r w:rsidR="00714AF5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.</w:t>
      </w:r>
      <w:r w:rsid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7A43A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Condizionat</w:t>
      </w:r>
      <w:r w:rsidR="007E074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e</w:t>
      </w:r>
      <w:r w:rsidR="007A43A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da</w:t>
      </w:r>
      <w:r w:rsidR="008406EF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</w:t>
      </w:r>
      <w:r w:rsidR="002340F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A44F7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generale </w:t>
      </w:r>
      <w:r w:rsidR="002340F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quadro </w:t>
      </w:r>
      <w:r w:rsidR="007A43A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di incertezza, </w:t>
      </w:r>
      <w:r w:rsidR="007E074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le imprese</w:t>
      </w:r>
      <w:r w:rsidR="00E91225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della regione </w:t>
      </w:r>
      <w:r w:rsidR="00787ECC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affrontano </w:t>
      </w:r>
      <w:r w:rsidR="00CF6CEA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il</w:t>
      </w:r>
      <w:r w:rsidR="009E025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D06F6F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 primo trimestre 2025</w:t>
      </w:r>
      <w:r w:rsidR="006E547A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con estrema cautela</w:t>
      </w:r>
      <w:r w:rsidR="007A43A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</w:t>
      </w:r>
      <w:r w:rsidR="0062270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2374C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pur </w:t>
      </w:r>
      <w:r w:rsidR="006E547A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manifestando</w:t>
      </w:r>
      <w:r w:rsidR="0062270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2374C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segnali di</w:t>
      </w:r>
      <w:r w:rsidR="0040479F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reazione e </w:t>
      </w:r>
      <w:r w:rsidR="00B226E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la volont</w:t>
      </w:r>
      <w:r w:rsidR="009612D4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à di guardare </w:t>
      </w:r>
      <w:r w:rsidR="009F522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oltre </w:t>
      </w:r>
      <w:r w:rsidR="00A44F7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le difficoltà</w:t>
      </w:r>
      <w:r w:rsidR="00D06F6F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. Lo</w:t>
      </w:r>
      <w:r w:rsidR="0059533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dimostra </w:t>
      </w:r>
      <w:r w:rsidR="0062270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la </w:t>
      </w:r>
      <w:r w:rsidR="00622709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tenuta degli investimenti</w:t>
      </w:r>
      <w:r w:rsidR="00D06F6F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 che</w:t>
      </w:r>
      <w:r w:rsidR="009C0671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rientrano </w:t>
      </w:r>
      <w:r w:rsidR="009B250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ne</w:t>
      </w:r>
      <w:r w:rsidR="008D14D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i programmi di</w:t>
      </w:r>
      <w:r w:rsidR="00042C0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FA292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quasi i</w:t>
      </w:r>
      <w:r w:rsidR="00854ED4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tre</w:t>
      </w:r>
      <w:r w:rsidR="005D18B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quart</w:t>
      </w:r>
      <w:r w:rsidR="00854ED4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i</w:t>
      </w:r>
      <w:r w:rsidR="005D18B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degli intervistati</w:t>
      </w:r>
      <w:r w:rsidR="00E579C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</w:t>
      </w:r>
      <w:r w:rsidR="00F2519C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E579C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fra cui</w:t>
      </w:r>
      <w:r w:rsidR="009B250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A907E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il</w:t>
      </w:r>
      <w:r w:rsidR="0006281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23</w:t>
      </w:r>
      <w:r w:rsidR="007E4A5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,6% preannuncia </w:t>
      </w:r>
      <w:r w:rsidR="00EC49C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l’acquisto di nuov</w:t>
      </w:r>
      <w:r w:rsidR="00F2519C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e attrezzature</w:t>
      </w:r>
      <w:r w:rsidR="00845655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.</w:t>
      </w:r>
      <w:r w:rsidR="00E877B1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Analogamente, </w:t>
      </w:r>
      <w:r w:rsidR="00C06AA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l’indice di </w:t>
      </w:r>
      <w:r w:rsidR="0049187A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utilizzo </w:t>
      </w:r>
      <w:r w:rsidR="00F65A3A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di</w:t>
      </w:r>
      <w:r w:rsidR="0049187A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impianti</w:t>
      </w:r>
      <w:r w:rsidR="00F65A3A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e risorse</w:t>
      </w:r>
      <w:r w:rsidR="009B4B0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F65A3A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si attesta al 77% del pieno </w:t>
      </w:r>
      <w:r w:rsidR="009B4B0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regime</w:t>
      </w:r>
      <w:r w:rsidR="0046650C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</w:t>
      </w:r>
      <w:r w:rsidR="00F65A3A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9B4B0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in linea con </w:t>
      </w:r>
      <w:r w:rsidR="00411CA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lo scorso</w:t>
      </w:r>
      <w:r w:rsidR="009B4B0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trimestre. </w:t>
      </w:r>
    </w:p>
    <w:p w14:paraId="29045021" w14:textId="1162F149" w:rsidR="00987A76" w:rsidRPr="00987A76" w:rsidRDefault="00987A76" w:rsidP="006A7CDC">
      <w:pPr>
        <w:spacing w:after="80" w:line="276" w:lineRule="auto"/>
        <w:rPr>
          <w:rFonts w:ascii="Calibri Light" w:hAnsi="Calibri Light" w:cs="Calibri Light"/>
          <w:bCs/>
          <w:color w:val="auto"/>
          <w:spacing w:val="2"/>
          <w:sz w:val="24"/>
          <w:szCs w:val="24"/>
        </w:rPr>
      </w:pPr>
      <w:r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“</w:t>
      </w:r>
      <w:r w:rsidRPr="00987A76">
        <w:rPr>
          <w:rFonts w:ascii="Calibri Light" w:hAnsi="Calibri Light" w:cs="Calibri Light"/>
          <w:bCs/>
          <w:i/>
          <w:iCs/>
          <w:color w:val="auto"/>
          <w:spacing w:val="2"/>
          <w:sz w:val="24"/>
          <w:szCs w:val="24"/>
        </w:rPr>
        <w:t>Gli investimenti privati anche nel 2025 rappresentato la migliore politica industriale possibile. E ciò è tanto più vero per le pmi. Gli interventi inseriti nella manovra di bilancio sull’Ires premiale e i correttivi sul piano Industria 5.0, possono infatti tenere attiva questa fondamentale leva di sviluppo e crescita dimensionale delle imprese, integrandosi alle risorse che arrivano dal Pnrr dal fronte pubblico. Ciò sarà tanto più vero se il credito non sarà soffocato dal calo dei tassi, e se gli aumenti del costo dell’energia saranno gestiti senza allarmismi, intervenendo sul metodo di formazione del prezzo del gas. L’insieme di questi interventi, in un quadro oramai stabilmente complesso a livello geopolitico, è la premessa per tornare a crescere, mantenendo gli attuali livelli di occupazione e quindi di utilizzo degli impianti</w:t>
      </w:r>
      <w:r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” commenda </w:t>
      </w:r>
      <w:r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Andrea Amalberto</w:t>
      </w:r>
      <w:r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 presidente di Confindustria Piemonte</w:t>
      </w: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.</w:t>
      </w:r>
    </w:p>
    <w:p w14:paraId="178DD4C9" w14:textId="292D4D30" w:rsidR="000B2EB0" w:rsidRPr="00987A76" w:rsidRDefault="00B14624" w:rsidP="006A7CDC">
      <w:pPr>
        <w:spacing w:after="80" w:line="276" w:lineRule="auto"/>
        <w:rPr>
          <w:rFonts w:ascii="Calibri Light" w:hAnsi="Calibri Light" w:cs="Calibri Light"/>
          <w:bCs/>
          <w:color w:val="auto"/>
          <w:spacing w:val="2"/>
          <w:sz w:val="24"/>
          <w:szCs w:val="24"/>
        </w:rPr>
      </w:pP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G</w:t>
      </w:r>
      <w:r w:rsidR="002340F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li indicatori </w:t>
      </w:r>
      <w:r w:rsidR="001B07C5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evidenziano un</w:t>
      </w:r>
      <w:r w:rsidR="0095189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E272B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avvio</w:t>
      </w:r>
      <w:r w:rsidR="0095189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411CA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d’anno</w:t>
      </w:r>
      <w:r w:rsidR="0095189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30018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in cui prevale </w:t>
      </w:r>
      <w:r w:rsidR="000A036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la </w:t>
      </w:r>
      <w:r w:rsidR="000A0366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prospettiva</w:t>
      </w:r>
      <w:r w:rsidR="00814CA4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 xml:space="preserve"> di </w:t>
      </w:r>
      <w:r w:rsidR="008406EF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riduzioni</w:t>
      </w:r>
      <w:r w:rsidR="00814CA4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 xml:space="preserve"> </w:t>
      </w:r>
      <w:r w:rsidR="001C2D83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n</w:t>
      </w:r>
      <w:r w:rsidR="00EF08B3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ella</w:t>
      </w:r>
      <w:r w:rsidR="00814CA4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 xml:space="preserve"> </w:t>
      </w:r>
      <w:r w:rsidR="002340F9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produzione</w:t>
      </w:r>
      <w:r w:rsidR="001473F4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(</w:t>
      </w:r>
      <w:r w:rsidR="007D3CD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saldo ottimisti/pessimisti a</w:t>
      </w:r>
      <w:r w:rsidR="00CD4B2D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</w:t>
      </w:r>
      <w:r w:rsidR="007D3CD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1473F4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-</w:t>
      </w:r>
      <w:r w:rsidR="002302B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4,6</w:t>
      </w:r>
      <w:r w:rsidR="00CD4B2D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%</w:t>
      </w:r>
      <w:r w:rsidR="001473F4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)</w:t>
      </w:r>
      <w:r w:rsidR="002340F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, </w:t>
      </w:r>
      <w:r w:rsidR="001C2D8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ne</w:t>
      </w:r>
      <w:r w:rsidR="00EF08B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gli </w:t>
      </w:r>
      <w:r w:rsidR="002340F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ordini </w:t>
      </w:r>
      <w:r w:rsidR="00663AC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(</w:t>
      </w:r>
      <w:r w:rsidR="00DB474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-</w:t>
      </w:r>
      <w:r w:rsidR="007D3CD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6</w:t>
      </w:r>
      <w:r w:rsidR="00CD4B2D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%</w:t>
      </w:r>
      <w:r w:rsidR="00DB474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) </w:t>
      </w:r>
      <w:r w:rsidR="002340F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e</w:t>
      </w:r>
      <w:r w:rsidR="00EF08B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1C2D8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n</w:t>
      </w:r>
      <w:r w:rsidR="00EF08B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ella</w:t>
      </w:r>
      <w:r w:rsidR="002340F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redditività</w:t>
      </w:r>
      <w:r w:rsidR="00DB474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(</w:t>
      </w:r>
      <w:r w:rsidR="00134B3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-</w:t>
      </w:r>
      <w:r w:rsidR="00663AC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8,2</w:t>
      </w:r>
      <w:r w:rsidR="00CD4B2D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%</w:t>
      </w:r>
      <w:r w:rsidR="00134B3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)</w:t>
      </w:r>
      <w:r w:rsidR="00814CA4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 così come</w:t>
      </w:r>
      <w:r w:rsidR="00945BF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AE11F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appaiono</w:t>
      </w:r>
      <w:r w:rsidR="00857B41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ridimensionate le </w:t>
      </w:r>
      <w:r w:rsidR="0013058C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attese</w:t>
      </w:r>
      <w:r w:rsidR="00857B41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2340F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sull</w:t>
      </w:r>
      <w:r w:rsidR="00D710F4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e </w:t>
      </w:r>
      <w:r w:rsidR="002340F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esportazioni</w:t>
      </w:r>
      <w:r w:rsidR="00663AC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(-9</w:t>
      </w:r>
      <w:r w:rsidR="00CD4B2D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%</w:t>
      </w:r>
      <w:r w:rsidR="00663AC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)</w:t>
      </w:r>
      <w:r w:rsidR="00A7202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. Restano </w:t>
      </w:r>
      <w:r w:rsidR="00A72028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 xml:space="preserve">positive </w:t>
      </w:r>
      <w:r w:rsidR="000B2EB0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 xml:space="preserve">le </w:t>
      </w:r>
      <w:r w:rsidR="00EF08B3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aspettative</w:t>
      </w:r>
      <w:r w:rsidR="000B2EB0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 xml:space="preserve"> sui livelli occupazion</w:t>
      </w:r>
      <w:r w:rsidR="00EF08B3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ali</w:t>
      </w:r>
      <w:r w:rsidR="00D165E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 seppur ridimensionate rispetto al precedente trimestre</w:t>
      </w:r>
      <w:r w:rsidR="00FE643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</w:t>
      </w:r>
      <w:r w:rsidR="007E3B6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9644B5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con il 12,8% </w:t>
      </w:r>
      <w:r w:rsidR="00FE643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del campione</w:t>
      </w:r>
      <w:r w:rsidR="009644B5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che ne </w:t>
      </w:r>
      <w:r w:rsidR="00E349A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pronostica </w:t>
      </w:r>
      <w:r w:rsidR="009644B5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un aumento</w:t>
      </w:r>
      <w:r w:rsidR="00FE643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e</w:t>
      </w:r>
      <w:r w:rsidR="009644B5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il 10,4% che </w:t>
      </w:r>
      <w:r w:rsidR="00C0743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prevede un calo </w:t>
      </w:r>
      <w:r w:rsidR="002D033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dell’impiego</w:t>
      </w:r>
      <w:r w:rsidR="00FE643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 per</w:t>
      </w:r>
      <w:r w:rsidR="009644B5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un </w:t>
      </w:r>
      <w:r w:rsidR="00570AC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indice di fiducia</w:t>
      </w:r>
      <w:r w:rsidR="009644B5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87243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de</w:t>
      </w:r>
      <w:r w:rsidR="00FE643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</w:t>
      </w:r>
      <w:r w:rsidR="009644B5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+2,4%</w:t>
      </w:r>
      <w:r w:rsidR="00FE643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. </w:t>
      </w:r>
      <w:r w:rsidR="000B2EB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570AC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P</w:t>
      </w:r>
      <w:r w:rsidR="000B2EB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arallel</w:t>
      </w:r>
      <w:r w:rsidR="00570AC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amente</w:t>
      </w:r>
      <w:r w:rsidR="002D033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</w:t>
      </w:r>
      <w:r w:rsidR="00570AC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570AC2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cresce i</w:t>
      </w:r>
      <w:r w:rsidR="000B2EB0" w:rsidRPr="00987A76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l ricorso alla CIG</w:t>
      </w:r>
      <w:r w:rsidR="00AF605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, </w:t>
      </w:r>
      <w:r w:rsidR="0030699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attivata dal </w:t>
      </w:r>
      <w:r w:rsidR="00AC469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13,7%</w:t>
      </w:r>
      <w:r w:rsidR="0030699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AF605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dei partecipanti all’indagine</w:t>
      </w:r>
      <w:r w:rsidR="000B2EB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, </w:t>
      </w:r>
      <w:r w:rsidR="00B373A7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e </w:t>
      </w:r>
      <w:r w:rsidR="003554C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soprattutto</w:t>
      </w:r>
      <w:r w:rsidR="000B2EB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in ambito manifatturiero</w:t>
      </w:r>
      <w:r w:rsidR="007A1FB7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</w:t>
      </w:r>
      <w:r w:rsidR="0030699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12253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dove</w:t>
      </w:r>
      <w:r w:rsidR="0036069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il </w:t>
      </w:r>
      <w:r w:rsidR="004651E5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18,6%</w:t>
      </w:r>
      <w:r w:rsidR="0036069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12253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delle aziende </w:t>
      </w:r>
      <w:r w:rsidR="00697644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intende </w:t>
      </w:r>
      <w:r w:rsidR="0036069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fa</w:t>
      </w:r>
      <w:r w:rsidR="00697644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rne</w:t>
      </w:r>
      <w:r w:rsidR="0036069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uso</w:t>
      </w:r>
      <w:r w:rsidR="000B2EB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.</w:t>
      </w:r>
    </w:p>
    <w:p w14:paraId="2D317CA9" w14:textId="18B93D1D" w:rsidR="0072326C" w:rsidRPr="00987A76" w:rsidRDefault="000B2EB0" w:rsidP="006A7CDC">
      <w:pPr>
        <w:spacing w:after="80" w:line="276" w:lineRule="auto"/>
        <w:rPr>
          <w:rFonts w:ascii="Calibri Light" w:hAnsi="Calibri Light" w:cs="Calibri Light"/>
          <w:bCs/>
          <w:color w:val="auto"/>
          <w:spacing w:val="2"/>
          <w:sz w:val="24"/>
          <w:szCs w:val="24"/>
        </w:rPr>
      </w:pP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In termini </w:t>
      </w:r>
      <w:r w:rsidR="00F12C1D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dimensionali</w:t>
      </w: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, </w:t>
      </w:r>
      <w:r w:rsidR="007242BD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s</w:t>
      </w:r>
      <w:r w:rsidR="007703D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i</w:t>
      </w:r>
      <w:r w:rsidR="007242BD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6D69E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osserva di nuovo</w:t>
      </w: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la forbice che vede le grandi imprese esprimere attese </w:t>
      </w:r>
      <w:r w:rsidR="003554C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maggiormente</w:t>
      </w: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positive rispetto </w:t>
      </w:r>
      <w:r w:rsidR="0093733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alle altre</w:t>
      </w:r>
      <w:r w:rsidR="00B071DC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: fra le realtà con </w:t>
      </w:r>
      <w:r w:rsidR="007A2E04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meno di 50 dipendenti </w:t>
      </w:r>
      <w:r w:rsidR="00BC27A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l’indice di </w:t>
      </w:r>
      <w:r w:rsidR="00603C8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fiducia sulla produzione è al -6,2%</w:t>
      </w:r>
      <w:r w:rsidR="00765334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, mentre fra quelle con 50 o più addetti </w:t>
      </w:r>
      <w:r w:rsidR="00C5125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si attesta al -0,8%.</w:t>
      </w:r>
    </w:p>
    <w:p w14:paraId="6773D04B" w14:textId="0CB6EDE7" w:rsidR="00BC10C8" w:rsidRPr="00987A76" w:rsidRDefault="00BC10C8" w:rsidP="00BC10C8">
      <w:pPr>
        <w:spacing w:after="80" w:line="276" w:lineRule="auto"/>
        <w:rPr>
          <w:rFonts w:ascii="Calibri Light" w:hAnsi="Calibri Light" w:cs="Calibri Light"/>
          <w:bCs/>
          <w:color w:val="auto"/>
          <w:spacing w:val="2"/>
          <w:sz w:val="24"/>
          <w:szCs w:val="24"/>
        </w:rPr>
      </w:pP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A livello generale, aumentano le aziende che temono una crescita di costi energetici, materie prime e logistica, con tempi di pagamento che restano stabili e una diminuzione del numero di imprese con un carnet ordini di medio-lungo periodo, a favore di una visibilità inferiore ai tre mesi.</w:t>
      </w:r>
    </w:p>
    <w:p w14:paraId="3FC8D42E" w14:textId="7A0CD079" w:rsidR="0049580E" w:rsidRPr="00987A76" w:rsidRDefault="00C51252" w:rsidP="006A7CDC">
      <w:pPr>
        <w:spacing w:after="80" w:line="276" w:lineRule="auto"/>
        <w:rPr>
          <w:rFonts w:ascii="Calibri Light" w:hAnsi="Calibri Light" w:cs="Calibri Light"/>
          <w:bCs/>
          <w:color w:val="auto"/>
          <w:spacing w:val="2"/>
          <w:sz w:val="24"/>
          <w:szCs w:val="24"/>
        </w:rPr>
      </w:pP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lastRenderedPageBreak/>
        <w:t>S</w:t>
      </w:r>
      <w:r w:rsidR="0072326C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i </w:t>
      </w:r>
      <w:r w:rsidR="007242BD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conferma</w:t>
      </w:r>
      <w:r w:rsidR="0072326C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invece </w:t>
      </w:r>
      <w:r w:rsidR="00550F67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</w:t>
      </w:r>
      <w:r w:rsidR="003A51E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a tendenza che </w:t>
      </w:r>
      <w:r w:rsidR="0093733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da oltre un anno</w:t>
      </w:r>
      <w:r w:rsidR="00C4233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550F67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vede una</w:t>
      </w:r>
      <w:r w:rsidR="00AB373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AB3730" w:rsidRPr="00511E1F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 xml:space="preserve">divergenza </w:t>
      </w:r>
      <w:r w:rsidR="00550F67" w:rsidRPr="00511E1F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n</w:t>
      </w:r>
      <w:r w:rsidR="00AB3730" w:rsidRPr="00511E1F">
        <w:rPr>
          <w:rFonts w:ascii="Calibri Light" w:hAnsi="Calibri Light" w:cs="Calibri Light"/>
          <w:b/>
          <w:color w:val="auto"/>
          <w:spacing w:val="2"/>
          <w:sz w:val="24"/>
          <w:szCs w:val="24"/>
        </w:rPr>
        <w:t>ell’andamento settoriale</w:t>
      </w:r>
      <w:r w:rsidR="00AB373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.</w:t>
      </w:r>
      <w:r w:rsidR="00F71D5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047DD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Infatti, s</w:t>
      </w:r>
      <w:r w:rsidR="003F549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e d</w:t>
      </w:r>
      <w:r w:rsidR="00F71D5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a un lato </w:t>
      </w:r>
      <w:r w:rsidR="00B34C2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ne</w:t>
      </w:r>
      <w:r w:rsidR="00F71D5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l comparto manifatturiero </w:t>
      </w:r>
      <w:r w:rsidR="00B34C2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si rilevano</w:t>
      </w:r>
      <w:r w:rsidR="00DE1C9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sintomi di</w:t>
      </w:r>
      <w:r w:rsidR="00F71D5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sofferenza</w:t>
      </w:r>
      <w:r w:rsidR="00E851C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AE5A9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(</w:t>
      </w:r>
      <w:r w:rsidR="00627FD1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saldo </w:t>
      </w:r>
      <w:r w:rsidR="006A425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fra ottimisti/pessimisti al </w:t>
      </w:r>
      <w:r w:rsidR="00716CC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- 12,7%)</w:t>
      </w:r>
      <w:r w:rsidR="00463C4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 d</w:t>
      </w:r>
      <w:r w:rsidR="00F71D5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all’altro</w:t>
      </w:r>
      <w:r w:rsidR="00463C4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il</w:t>
      </w:r>
      <w:r w:rsidR="00F71D5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terziario prosegue la crescita </w:t>
      </w:r>
      <w:r w:rsidR="00463C4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avviata</w:t>
      </w:r>
      <w:r w:rsidR="00F71D5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="00463C4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dal</w:t>
      </w:r>
      <w:r w:rsidR="00F71D5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la pandemia</w:t>
      </w:r>
      <w:r w:rsidR="002E6AB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in poi</w:t>
      </w:r>
      <w:r w:rsidR="00716CC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(saldo a</w:t>
      </w:r>
      <w:r w:rsidR="00581504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 + 13,7%)</w:t>
      </w:r>
      <w:r w:rsidR="002E6AB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 anche in virtù di una bass</w:t>
      </w:r>
      <w:r w:rsidR="00047DD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a</w:t>
      </w:r>
      <w:r w:rsidR="002E6AB2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incidenza dell’export che </w:t>
      </w:r>
      <w:r w:rsidR="00F878E1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preserva</w:t>
      </w:r>
      <w:r w:rsidR="00805578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maggiormente</w:t>
      </w:r>
      <w:r w:rsidR="00F878E1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il mercato dei servizi</w:t>
      </w:r>
      <w:r w:rsidR="00822A9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dalle</w:t>
      </w:r>
      <w:r w:rsidR="00F71D50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tensioni internazionali.</w:t>
      </w:r>
    </w:p>
    <w:p w14:paraId="0CF84A2F" w14:textId="1BCF4813" w:rsidR="00EA7938" w:rsidRPr="00987A76" w:rsidRDefault="00D355E9" w:rsidP="00DC01E5">
      <w:pPr>
        <w:spacing w:after="80" w:line="276" w:lineRule="auto"/>
        <w:rPr>
          <w:rFonts w:ascii="Calibri Light" w:hAnsi="Calibri Light" w:cs="Calibri Light"/>
          <w:bCs/>
          <w:color w:val="auto"/>
          <w:sz w:val="24"/>
          <w:szCs w:val="24"/>
        </w:rPr>
      </w:pPr>
      <w:r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Guardando ai </w:t>
      </w:r>
      <w:r w:rsidRPr="00511E1F">
        <w:rPr>
          <w:rFonts w:ascii="Calibri Light" w:hAnsi="Calibri Light" w:cs="Calibri Light"/>
          <w:b/>
          <w:color w:val="auto"/>
          <w:sz w:val="24"/>
          <w:szCs w:val="24"/>
        </w:rPr>
        <w:t>singoli settori</w:t>
      </w:r>
      <w:r w:rsidR="00F71D50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, nell’industria si registrano </w:t>
      </w:r>
      <w:r w:rsidR="00135A12" w:rsidRPr="00987A76">
        <w:rPr>
          <w:rFonts w:ascii="Calibri Light" w:hAnsi="Calibri Light" w:cs="Calibri Light"/>
          <w:bCs/>
          <w:color w:val="auto"/>
          <w:sz w:val="24"/>
          <w:szCs w:val="24"/>
        </w:rPr>
        <w:t>previsioni sull’</w:t>
      </w:r>
      <w:r w:rsidR="00F71D50" w:rsidRPr="00987A76">
        <w:rPr>
          <w:rFonts w:ascii="Calibri Light" w:hAnsi="Calibri Light" w:cs="Calibri Light"/>
          <w:bCs/>
          <w:color w:val="auto"/>
          <w:sz w:val="24"/>
          <w:szCs w:val="24"/>
        </w:rPr>
        <w:t>andament</w:t>
      </w:r>
      <w:r w:rsidR="00135A12" w:rsidRPr="00987A76">
        <w:rPr>
          <w:rFonts w:ascii="Calibri Light" w:hAnsi="Calibri Light" w:cs="Calibri Light"/>
          <w:bCs/>
          <w:color w:val="auto"/>
          <w:sz w:val="24"/>
          <w:szCs w:val="24"/>
        </w:rPr>
        <w:t>o</w:t>
      </w:r>
      <w:r w:rsidR="00F71D50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</w:t>
      </w:r>
      <w:r w:rsidR="00E72CE6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della produzione </w:t>
      </w:r>
      <w:r w:rsidR="00F71D50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diffusamente in calo, in particolare per </w:t>
      </w:r>
      <w:r w:rsidR="00031C3D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le </w:t>
      </w:r>
      <w:r w:rsidR="00E4461A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imprese </w:t>
      </w:r>
      <w:r w:rsidR="00F71D50" w:rsidRPr="00987A76">
        <w:rPr>
          <w:rFonts w:ascii="Calibri Light" w:hAnsi="Calibri Light" w:cs="Calibri Light"/>
          <w:bCs/>
          <w:color w:val="auto"/>
          <w:sz w:val="24"/>
          <w:szCs w:val="24"/>
        </w:rPr>
        <w:t>metalmeccanic</w:t>
      </w:r>
      <w:r w:rsidR="00E4461A" w:rsidRPr="00987A76">
        <w:rPr>
          <w:rFonts w:ascii="Calibri Light" w:hAnsi="Calibri Light" w:cs="Calibri Light"/>
          <w:bCs/>
          <w:color w:val="auto"/>
          <w:sz w:val="24"/>
          <w:szCs w:val="24"/>
        </w:rPr>
        <w:t>he</w:t>
      </w:r>
      <w:r w:rsidR="00960265" w:rsidRPr="00987A76">
        <w:rPr>
          <w:rFonts w:ascii="Calibri Light" w:hAnsi="Calibri Light" w:cs="Calibri Light"/>
          <w:bCs/>
          <w:color w:val="auto"/>
          <w:sz w:val="24"/>
          <w:szCs w:val="24"/>
        </w:rPr>
        <w:t>: il saldo fra</w:t>
      </w:r>
      <w:r w:rsidR="00E4461A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</w:t>
      </w:r>
      <w:r w:rsidR="00617A22" w:rsidRPr="00987A76">
        <w:rPr>
          <w:rFonts w:ascii="Calibri Light" w:hAnsi="Calibri Light" w:cs="Calibri Light"/>
          <w:bCs/>
          <w:color w:val="auto"/>
          <w:sz w:val="24"/>
          <w:szCs w:val="24"/>
        </w:rPr>
        <w:t>chi</w:t>
      </w:r>
      <w:r w:rsidR="004E0105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prev</w:t>
      </w:r>
      <w:r w:rsidR="00617A22" w:rsidRPr="00987A76">
        <w:rPr>
          <w:rFonts w:ascii="Calibri Light" w:hAnsi="Calibri Light" w:cs="Calibri Light"/>
          <w:bCs/>
          <w:color w:val="auto"/>
          <w:sz w:val="24"/>
          <w:szCs w:val="24"/>
        </w:rPr>
        <w:t>ede</w:t>
      </w:r>
      <w:r w:rsidR="00FC375D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un</w:t>
      </w:r>
      <w:r w:rsidR="007F0857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a riduzione dei volumi </w:t>
      </w:r>
      <w:r w:rsidR="009C3829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nel trimestre </w:t>
      </w:r>
      <w:r w:rsidR="00960265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e </w:t>
      </w:r>
      <w:r w:rsidR="00617A22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chi si attende </w:t>
      </w:r>
      <w:r w:rsidR="00B2378C" w:rsidRPr="00987A76">
        <w:rPr>
          <w:rFonts w:ascii="Calibri Light" w:hAnsi="Calibri Light" w:cs="Calibri Light"/>
          <w:bCs/>
          <w:color w:val="auto"/>
          <w:sz w:val="24"/>
          <w:szCs w:val="24"/>
        </w:rPr>
        <w:t>un andamento stabile o in crescita</w:t>
      </w:r>
      <w:r w:rsidR="00617A22" w:rsidRPr="00987A76">
        <w:rPr>
          <w:rFonts w:ascii="Calibri Light" w:hAnsi="Calibri Light" w:cs="Calibri Light"/>
          <w:bCs/>
          <w:color w:val="auto"/>
          <w:sz w:val="24"/>
          <w:szCs w:val="24"/>
        </w:rPr>
        <w:t>, è al -</w:t>
      </w:r>
      <w:r w:rsidR="007F0857" w:rsidRPr="00987A76">
        <w:rPr>
          <w:rFonts w:ascii="Calibri Light" w:hAnsi="Calibri Light" w:cs="Calibri Light"/>
          <w:bCs/>
          <w:color w:val="auto"/>
          <w:sz w:val="24"/>
          <w:szCs w:val="24"/>
        </w:rPr>
        <w:t>21,8%</w:t>
      </w:r>
      <w:r w:rsidR="00014647" w:rsidRPr="00987A76">
        <w:rPr>
          <w:rFonts w:ascii="Calibri Light" w:hAnsi="Calibri Light" w:cs="Calibri Light"/>
          <w:bCs/>
          <w:color w:val="auto"/>
          <w:sz w:val="24"/>
          <w:szCs w:val="24"/>
        </w:rPr>
        <w:t>, che diventa</w:t>
      </w:r>
      <w:r w:rsidR="005E2377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un -27,1% per le realtà </w:t>
      </w:r>
      <w:proofErr w:type="spellStart"/>
      <w:r w:rsidR="005E2377" w:rsidRPr="00987A76">
        <w:rPr>
          <w:rFonts w:ascii="Calibri Light" w:hAnsi="Calibri Light" w:cs="Calibri Light"/>
          <w:bCs/>
          <w:color w:val="auto"/>
          <w:sz w:val="24"/>
          <w:szCs w:val="24"/>
        </w:rPr>
        <w:t>dell’automotive</w:t>
      </w:r>
      <w:proofErr w:type="spellEnd"/>
      <w:r w:rsidR="005E2377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e un -19,8</w:t>
      </w:r>
      <w:r w:rsidR="00031C3D" w:rsidRPr="00987A76">
        <w:rPr>
          <w:rFonts w:ascii="Calibri Light" w:hAnsi="Calibri Light" w:cs="Calibri Light"/>
          <w:bCs/>
          <w:color w:val="auto"/>
          <w:sz w:val="24"/>
          <w:szCs w:val="24"/>
        </w:rPr>
        <w:t>% per quelle della meccatronica.</w:t>
      </w:r>
      <w:r w:rsidR="0003755F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Scenari simili </w:t>
      </w:r>
      <w:r w:rsidR="00BE01A4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nei </w:t>
      </w:r>
      <w:r w:rsidR="006E18A2" w:rsidRPr="00987A76">
        <w:rPr>
          <w:rFonts w:ascii="Calibri Light" w:hAnsi="Calibri Light" w:cs="Calibri Light"/>
          <w:bCs/>
          <w:color w:val="auto"/>
          <w:sz w:val="24"/>
          <w:szCs w:val="24"/>
        </w:rPr>
        <w:t>comparti</w:t>
      </w:r>
      <w:r w:rsidR="00C0379C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legno (-18,8%),</w:t>
      </w:r>
      <w:r w:rsidR="006E18A2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</w:t>
      </w:r>
      <w:r w:rsidR="00BE01A4" w:rsidRPr="00987A76">
        <w:rPr>
          <w:rFonts w:ascii="Calibri Light" w:hAnsi="Calibri Light" w:cs="Calibri Light"/>
          <w:bCs/>
          <w:color w:val="auto"/>
          <w:sz w:val="24"/>
          <w:szCs w:val="24"/>
        </w:rPr>
        <w:t>tessile-abbigliamento (-11,6%), gomma-plastica</w:t>
      </w:r>
      <w:r w:rsidR="006E18A2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(</w:t>
      </w:r>
      <w:r w:rsidR="00BE01A4" w:rsidRPr="00987A76">
        <w:rPr>
          <w:rFonts w:ascii="Calibri Light" w:hAnsi="Calibri Light" w:cs="Calibri Light"/>
          <w:bCs/>
          <w:color w:val="auto"/>
          <w:sz w:val="24"/>
          <w:szCs w:val="24"/>
        </w:rPr>
        <w:t>-4,7%</w:t>
      </w:r>
      <w:r w:rsidR="006E18A2" w:rsidRPr="00987A76">
        <w:rPr>
          <w:rFonts w:ascii="Calibri Light" w:hAnsi="Calibri Light" w:cs="Calibri Light"/>
          <w:bCs/>
          <w:color w:val="auto"/>
          <w:sz w:val="24"/>
          <w:szCs w:val="24"/>
        </w:rPr>
        <w:t>)</w:t>
      </w:r>
      <w:r w:rsidR="00BE01A4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, chimica (-4,0%), manifatture varie </w:t>
      </w:r>
      <w:r w:rsidR="00CE315A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fra cui </w:t>
      </w:r>
      <w:r w:rsidR="00492403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gioielli, giocattoli ecc. </w:t>
      </w:r>
      <w:r w:rsidR="00BE01A4" w:rsidRPr="00987A76">
        <w:rPr>
          <w:rFonts w:ascii="Calibri Light" w:hAnsi="Calibri Light" w:cs="Calibri Light"/>
          <w:bCs/>
          <w:color w:val="auto"/>
          <w:sz w:val="24"/>
          <w:szCs w:val="24"/>
        </w:rPr>
        <w:t>(</w:t>
      </w:r>
      <w:r w:rsidR="00492403" w:rsidRPr="00987A76">
        <w:rPr>
          <w:rFonts w:ascii="Calibri Light" w:hAnsi="Calibri Light" w:cs="Calibri Light"/>
          <w:bCs/>
          <w:color w:val="auto"/>
          <w:sz w:val="24"/>
          <w:szCs w:val="24"/>
        </w:rPr>
        <w:t>-11,2% -</w:t>
      </w:r>
      <w:r w:rsidR="00BE01A4" w:rsidRPr="00987A76">
        <w:rPr>
          <w:rFonts w:ascii="Calibri Light" w:hAnsi="Calibri Light" w:cs="Calibri Light"/>
          <w:bCs/>
          <w:color w:val="auto"/>
          <w:sz w:val="24"/>
          <w:szCs w:val="24"/>
        </w:rPr>
        <w:t>), cartario - grafico (-3,7%).</w:t>
      </w:r>
      <w:r w:rsidR="00FB61A5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</w:t>
      </w:r>
      <w:r w:rsidR="005B2F2F" w:rsidRPr="00987A76">
        <w:rPr>
          <w:rFonts w:ascii="Calibri Light" w:hAnsi="Calibri Light" w:cs="Calibri Light"/>
          <w:bCs/>
          <w:color w:val="auto"/>
          <w:sz w:val="24"/>
          <w:szCs w:val="24"/>
        </w:rPr>
        <w:t>Indice di f</w:t>
      </w:r>
      <w:r w:rsidR="00FB61A5" w:rsidRPr="00987A76">
        <w:rPr>
          <w:rFonts w:ascii="Calibri Light" w:hAnsi="Calibri Light" w:cs="Calibri Light"/>
          <w:bCs/>
          <w:color w:val="auto"/>
          <w:sz w:val="24"/>
          <w:szCs w:val="24"/>
        </w:rPr>
        <w:t>iducia</w:t>
      </w:r>
      <w:r w:rsidR="005B2F2F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neutro per </w:t>
      </w:r>
      <w:r w:rsidR="00B11C74" w:rsidRPr="00987A76">
        <w:rPr>
          <w:rFonts w:ascii="Calibri Light" w:hAnsi="Calibri Light" w:cs="Calibri Light"/>
          <w:bCs/>
          <w:color w:val="auto"/>
          <w:sz w:val="24"/>
          <w:szCs w:val="24"/>
        </w:rPr>
        <w:t>l’</w:t>
      </w:r>
      <w:r w:rsidR="005B2F2F" w:rsidRPr="00987A76">
        <w:rPr>
          <w:rFonts w:ascii="Calibri Light" w:hAnsi="Calibri Light" w:cs="Calibri Light"/>
          <w:bCs/>
          <w:color w:val="auto"/>
          <w:sz w:val="24"/>
          <w:szCs w:val="24"/>
        </w:rPr>
        <w:t>a</w:t>
      </w:r>
      <w:r w:rsidR="00B11C74" w:rsidRPr="00987A76">
        <w:rPr>
          <w:rFonts w:ascii="Calibri Light" w:hAnsi="Calibri Light" w:cs="Calibri Light"/>
          <w:bCs/>
          <w:color w:val="auto"/>
          <w:sz w:val="24"/>
          <w:szCs w:val="24"/>
        </w:rPr>
        <w:t>limentare (tradizionalmente anticiclico</w:t>
      </w:r>
      <w:r w:rsidR="00E87DA4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e reduce dal picco di domanda di fine anno</w:t>
      </w:r>
      <w:r w:rsidR="00B11C74" w:rsidRPr="00987A76">
        <w:rPr>
          <w:rFonts w:ascii="Calibri Light" w:hAnsi="Calibri Light" w:cs="Calibri Light"/>
          <w:bCs/>
          <w:color w:val="auto"/>
          <w:sz w:val="24"/>
          <w:szCs w:val="24"/>
        </w:rPr>
        <w:t>)</w:t>
      </w:r>
      <w:r w:rsidR="00E87DA4" w:rsidRPr="00987A76">
        <w:rPr>
          <w:rFonts w:ascii="Calibri Light" w:hAnsi="Calibri Light" w:cs="Calibri Light"/>
          <w:bCs/>
          <w:color w:val="auto"/>
          <w:sz w:val="24"/>
          <w:szCs w:val="24"/>
        </w:rPr>
        <w:t xml:space="preserve"> e </w:t>
      </w:r>
      <w:r w:rsidR="00FB61A5" w:rsidRPr="00987A76">
        <w:rPr>
          <w:rFonts w:ascii="Calibri Light" w:hAnsi="Calibri Light" w:cs="Calibri Light"/>
          <w:bCs/>
          <w:color w:val="auto"/>
          <w:sz w:val="24"/>
          <w:szCs w:val="24"/>
        </w:rPr>
        <w:t>per l’area edilizia-impiantisti</w:t>
      </w:r>
      <w:r w:rsidR="008519CB" w:rsidRPr="00987A76">
        <w:rPr>
          <w:rFonts w:ascii="Calibri Light" w:hAnsi="Calibri Light" w:cs="Calibri Light"/>
          <w:bCs/>
          <w:color w:val="auto"/>
          <w:sz w:val="24"/>
          <w:szCs w:val="24"/>
        </w:rPr>
        <w:t>.</w:t>
      </w:r>
    </w:p>
    <w:p w14:paraId="41E31EDB" w14:textId="2F5956B3" w:rsidR="00F71D50" w:rsidRPr="00987A76" w:rsidRDefault="00F71D50" w:rsidP="006A7CDC">
      <w:pPr>
        <w:spacing w:after="80" w:line="276" w:lineRule="auto"/>
        <w:rPr>
          <w:rFonts w:ascii="Calibri Light" w:hAnsi="Calibri Light" w:cs="Calibri Light"/>
          <w:bCs/>
          <w:color w:val="auto"/>
          <w:spacing w:val="2"/>
          <w:sz w:val="24"/>
          <w:szCs w:val="24"/>
        </w:rPr>
      </w:pP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Nel terziario, come già </w:t>
      </w:r>
      <w:r w:rsidR="00D1529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evidenziato</w:t>
      </w: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, tutti i comparti esprimono attese favorevoli, ad eccezione d</w:t>
      </w:r>
      <w:r w:rsidR="0099773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i una prevalenza di pessimismo</w:t>
      </w:r>
      <w:r w:rsidR="00653AC7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, </w:t>
      </w:r>
      <w:r w:rsidR="00C3333C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verosimilmente </w:t>
      </w:r>
      <w:r w:rsidR="00653AC7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legato alla stagionalità,</w:t>
      </w:r>
      <w:r w:rsidR="0099773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per </w:t>
      </w:r>
      <w:r w:rsidR="00653AC7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la categoria</w:t>
      </w:r>
      <w:r w:rsidR="00997736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</w:t>
      </w: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commercio e turismo</w:t>
      </w:r>
      <w:r w:rsidR="00653AC7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(</w:t>
      </w:r>
      <w:r w:rsidR="00C3333C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-7,9%)</w:t>
      </w:r>
      <w:r w:rsidR="007F145E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. </w:t>
      </w:r>
      <w:r w:rsidR="00C120C1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Per contro, buone le prospettive</w:t>
      </w:r>
      <w:r w:rsidR="00BB5C5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per </w:t>
      </w:r>
      <w:r w:rsidR="00D15293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tutte </w:t>
      </w:r>
      <w:r w:rsidR="00BB5C5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le altre </w:t>
      </w:r>
      <w:r w:rsidR="007B5A4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attivit</w:t>
      </w:r>
      <w:r w:rsidR="00F0511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à</w:t>
      </w:r>
      <w:r w:rsidR="00BB5C5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d</w:t>
      </w:r>
      <w:r w:rsidR="00F05119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e</w:t>
      </w:r>
      <w:r w:rsidR="00BB5C5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i servizi e</w:t>
      </w: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in particolare</w:t>
      </w:r>
      <w:r w:rsidR="00BB5C5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per le imprese</w:t>
      </w: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 xml:space="preserve"> ICT </w:t>
      </w:r>
      <w:r w:rsidR="00BB5C5B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(</w:t>
      </w:r>
      <w:r w:rsidR="0036537D"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+25%)</w:t>
      </w: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.</w:t>
      </w:r>
    </w:p>
    <w:p w14:paraId="7C1C9CFC" w14:textId="29ACDF39" w:rsidR="00987A76" w:rsidRPr="00987A76" w:rsidRDefault="00082BC5" w:rsidP="00987A76">
      <w:pPr>
        <w:spacing w:after="80" w:line="276" w:lineRule="auto"/>
        <w:rPr>
          <w:rFonts w:ascii="Calibri Light" w:hAnsi="Calibri Light" w:cs="Calibri Light"/>
          <w:b/>
          <w:color w:val="auto"/>
          <w:spacing w:val="2"/>
          <w:sz w:val="24"/>
          <w:szCs w:val="24"/>
          <w:u w:val="single"/>
        </w:rPr>
      </w:pPr>
      <w:r w:rsidRPr="00987A76">
        <w:rPr>
          <w:rFonts w:ascii="Calibri Light" w:hAnsi="Calibri Light" w:cs="Calibri Light"/>
          <w:bCs/>
          <w:color w:val="auto"/>
          <w:spacing w:val="2"/>
          <w:sz w:val="24"/>
          <w:szCs w:val="24"/>
        </w:rPr>
        <w:t>Su scala territoriale si osservano andamenti differenziati. Le attese sulla produzione si presentano negative in particolare nelle province di Vercelli, Biella, Alessandria e Novara, con saldi rispettivamente pari al -28,9%, -9,9%, -8,4% e -6,6%. Lieve prevalenza dei pessimisti anche a Cuneo e Verbania (entrambe al -2,3%), mentre il segno più nelle attese si registra a Torino, dove emerge una situazione di sostanziale equilibrio (+0,3%), ad Asti (+10,3%) e nel Canavese (+2,5%).</w:t>
      </w:r>
    </w:p>
    <w:p w14:paraId="076D331C" w14:textId="449F34D2" w:rsidR="00987A76" w:rsidRDefault="00987A76" w:rsidP="00987A76">
      <w:pPr>
        <w:spacing w:after="80" w:line="276" w:lineRule="auto"/>
        <w:rPr>
          <w:rFonts w:ascii="Calibri Light" w:hAnsi="Calibri Light" w:cs="Calibri Light"/>
          <w:bCs/>
          <w:color w:val="auto"/>
          <w:spacing w:val="2"/>
          <w:sz w:val="24"/>
          <w:szCs w:val="24"/>
        </w:rPr>
      </w:pPr>
    </w:p>
    <w:p w14:paraId="4EA992C8" w14:textId="27468BA4" w:rsidR="00511E1F" w:rsidRPr="00511E1F" w:rsidRDefault="00511E1F" w:rsidP="00511E1F">
      <w:pPr>
        <w:spacing w:line="276" w:lineRule="auto"/>
        <w:rPr>
          <w:rFonts w:ascii="Calibri Light" w:hAnsi="Calibri Light" w:cs="Calibri Light"/>
          <w:bCs/>
          <w:color w:val="auto"/>
          <w:spacing w:val="2"/>
          <w:sz w:val="22"/>
          <w:szCs w:val="22"/>
        </w:rPr>
      </w:pPr>
      <w:r w:rsidRPr="00511E1F">
        <w:rPr>
          <w:rFonts w:ascii="Calibri Light" w:hAnsi="Calibri Light" w:cs="Calibri Light"/>
          <w:bCs/>
          <w:color w:val="auto"/>
          <w:spacing w:val="2"/>
          <w:sz w:val="22"/>
          <w:szCs w:val="22"/>
        </w:rPr>
        <w:t>Ufficio stampa Confindustria Piemonte</w:t>
      </w:r>
    </w:p>
    <w:p w14:paraId="249DE54A" w14:textId="16E17DB2" w:rsidR="00511E1F" w:rsidRPr="00511E1F" w:rsidRDefault="00511E1F" w:rsidP="00511E1F">
      <w:pPr>
        <w:spacing w:line="276" w:lineRule="auto"/>
        <w:rPr>
          <w:rFonts w:ascii="Calibri Light" w:hAnsi="Calibri Light" w:cs="Calibri Light"/>
          <w:bCs/>
          <w:color w:val="auto"/>
          <w:spacing w:val="2"/>
          <w:sz w:val="22"/>
          <w:szCs w:val="22"/>
        </w:rPr>
      </w:pPr>
      <w:r w:rsidRPr="00511E1F">
        <w:rPr>
          <w:rFonts w:ascii="Calibri Light" w:hAnsi="Calibri Light" w:cs="Calibri Light"/>
          <w:bCs/>
          <w:color w:val="auto"/>
          <w:spacing w:val="2"/>
          <w:sz w:val="22"/>
          <w:szCs w:val="22"/>
        </w:rPr>
        <w:t xml:space="preserve">Isabella Antonetto </w:t>
      </w:r>
      <w:hyperlink r:id="rId8" w:history="1">
        <w:r w:rsidRPr="00511E1F">
          <w:rPr>
            <w:rStyle w:val="Collegamentoipertestuale"/>
            <w:rFonts w:ascii="Calibri Light" w:hAnsi="Calibri Light" w:cs="Calibri Light"/>
            <w:bCs/>
            <w:spacing w:val="2"/>
            <w:sz w:val="22"/>
            <w:szCs w:val="22"/>
          </w:rPr>
          <w:t>media@confindustria.piemonte.it</w:t>
        </w:r>
      </w:hyperlink>
      <w:r w:rsidRPr="00511E1F">
        <w:rPr>
          <w:rFonts w:ascii="Calibri Light" w:hAnsi="Calibri Light" w:cs="Calibri Light"/>
          <w:bCs/>
          <w:color w:val="auto"/>
          <w:spacing w:val="2"/>
          <w:sz w:val="22"/>
          <w:szCs w:val="22"/>
        </w:rPr>
        <w:t xml:space="preserve"> </w:t>
      </w:r>
    </w:p>
    <w:p w14:paraId="1B0FD89D" w14:textId="6AD2ECFF" w:rsidR="00511E1F" w:rsidRPr="00511E1F" w:rsidRDefault="00511E1F" w:rsidP="00511E1F">
      <w:pPr>
        <w:spacing w:line="276" w:lineRule="auto"/>
        <w:rPr>
          <w:rFonts w:ascii="Calibri Light" w:hAnsi="Calibri Light" w:cs="Calibri Light"/>
          <w:bCs/>
          <w:color w:val="auto"/>
          <w:spacing w:val="2"/>
          <w:sz w:val="22"/>
          <w:szCs w:val="22"/>
        </w:rPr>
      </w:pPr>
      <w:r w:rsidRPr="00511E1F">
        <w:rPr>
          <w:rFonts w:ascii="Calibri Light" w:hAnsi="Calibri Light" w:cs="Calibri Light"/>
          <w:bCs/>
          <w:color w:val="auto"/>
          <w:spacing w:val="2"/>
          <w:sz w:val="22"/>
          <w:szCs w:val="22"/>
        </w:rPr>
        <w:t>Jan Pellissier 347 7845273</w:t>
      </w:r>
    </w:p>
    <w:sectPr w:rsidR="00511E1F" w:rsidRPr="00511E1F" w:rsidSect="00987A76">
      <w:footerReference w:type="default" r:id="rId9"/>
      <w:headerReference w:type="first" r:id="rId10"/>
      <w:pgSz w:w="11900" w:h="16840"/>
      <w:pgMar w:top="1843" w:right="1134" w:bottom="1134" w:left="1134" w:header="426" w:footer="7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17FEF" w14:textId="77777777" w:rsidR="00770B0C" w:rsidRDefault="00770B0C">
      <w:r>
        <w:separator/>
      </w:r>
    </w:p>
  </w:endnote>
  <w:endnote w:type="continuationSeparator" w:id="0">
    <w:p w14:paraId="705DA767" w14:textId="77777777" w:rsidR="00770B0C" w:rsidRDefault="00770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9378312"/>
      <w:docPartObj>
        <w:docPartGallery w:val="Page Numbers (Bottom of Page)"/>
        <w:docPartUnique/>
      </w:docPartObj>
    </w:sdtPr>
    <w:sdtContent>
      <w:p w14:paraId="205DA3A7" w14:textId="3A660151" w:rsidR="008015C5" w:rsidRDefault="00000000">
        <w:pPr>
          <w:pStyle w:val="Pidipagina"/>
          <w:jc w:val="center"/>
        </w:pPr>
      </w:p>
    </w:sdtContent>
  </w:sdt>
  <w:p w14:paraId="435BEF45" w14:textId="77777777" w:rsidR="00511E24" w:rsidRDefault="00511E24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23BE8" w14:textId="77777777" w:rsidR="00770B0C" w:rsidRDefault="00770B0C">
      <w:r>
        <w:separator/>
      </w:r>
    </w:p>
  </w:footnote>
  <w:footnote w:type="continuationSeparator" w:id="0">
    <w:p w14:paraId="07CBA70F" w14:textId="77777777" w:rsidR="00770B0C" w:rsidRDefault="00770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67644" w14:textId="3A2DF349" w:rsidR="002032E9" w:rsidRDefault="00987A76" w:rsidP="00987A76">
    <w:pPr>
      <w:pStyle w:val="Intestazione"/>
      <w:jc w:val="center"/>
    </w:pPr>
    <w:r>
      <w:rPr>
        <w:noProof/>
      </w:rPr>
      <w:drawing>
        <wp:inline distT="0" distB="0" distL="0" distR="0" wp14:anchorId="0FDB16AF" wp14:editId="02B63BFE">
          <wp:extent cx="2127250" cy="737334"/>
          <wp:effectExtent l="0" t="0" r="6350" b="5715"/>
          <wp:docPr id="2083298294" name="Immagine 1" descr="Immagine che contiene Carattere, logo, testo, bianc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9865434" name="Immagine 1" descr="Immagine che contiene Carattere, logo, testo, bianc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8195" cy="7445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324D95"/>
    <w:multiLevelType w:val="hybridMultilevel"/>
    <w:tmpl w:val="5F14DAF4"/>
    <w:lvl w:ilvl="0" w:tplc="9EF4941C">
      <w:numFmt w:val="bullet"/>
      <w:lvlText w:val=""/>
      <w:lvlJc w:val="left"/>
      <w:pPr>
        <w:ind w:left="720" w:hanging="360"/>
      </w:pPr>
      <w:rPr>
        <w:rFonts w:ascii="Symbol" w:eastAsia="Arial Unicode MS" w:hAnsi="Symbol" w:cs="Arial Unicode M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533D65"/>
    <w:multiLevelType w:val="hybridMultilevel"/>
    <w:tmpl w:val="2232504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23D98"/>
    <w:multiLevelType w:val="hybridMultilevel"/>
    <w:tmpl w:val="04A8F596"/>
    <w:lvl w:ilvl="0" w:tplc="5B2861E4">
      <w:numFmt w:val="bullet"/>
      <w:lvlText w:val=""/>
      <w:lvlJc w:val="left"/>
      <w:pPr>
        <w:ind w:left="720" w:hanging="360"/>
      </w:pPr>
      <w:rPr>
        <w:rFonts w:ascii="Symbol" w:eastAsia="Arial Unicode MS" w:hAnsi="Symbol" w:cs="Arial Unicode M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8316302">
    <w:abstractNumId w:val="0"/>
  </w:num>
  <w:num w:numId="2" w16cid:durableId="568616895">
    <w:abstractNumId w:val="2"/>
  </w:num>
  <w:num w:numId="3" w16cid:durableId="1691101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E24"/>
    <w:rsid w:val="00004279"/>
    <w:rsid w:val="00007731"/>
    <w:rsid w:val="000101AA"/>
    <w:rsid w:val="00011051"/>
    <w:rsid w:val="0001156B"/>
    <w:rsid w:val="00014647"/>
    <w:rsid w:val="000159DD"/>
    <w:rsid w:val="0001748E"/>
    <w:rsid w:val="000229CE"/>
    <w:rsid w:val="000266D9"/>
    <w:rsid w:val="0002701E"/>
    <w:rsid w:val="00030477"/>
    <w:rsid w:val="00031C3D"/>
    <w:rsid w:val="00034C2B"/>
    <w:rsid w:val="0003755F"/>
    <w:rsid w:val="00042110"/>
    <w:rsid w:val="00042C06"/>
    <w:rsid w:val="0004657F"/>
    <w:rsid w:val="0004760E"/>
    <w:rsid w:val="00047DDE"/>
    <w:rsid w:val="000541BD"/>
    <w:rsid w:val="00054DF5"/>
    <w:rsid w:val="00062812"/>
    <w:rsid w:val="000661E9"/>
    <w:rsid w:val="00072A89"/>
    <w:rsid w:val="00074BD1"/>
    <w:rsid w:val="00077B2F"/>
    <w:rsid w:val="00082BC5"/>
    <w:rsid w:val="00090F89"/>
    <w:rsid w:val="0009117E"/>
    <w:rsid w:val="0009348B"/>
    <w:rsid w:val="00093861"/>
    <w:rsid w:val="00094E93"/>
    <w:rsid w:val="00096B3B"/>
    <w:rsid w:val="0009746F"/>
    <w:rsid w:val="00097D42"/>
    <w:rsid w:val="000A0366"/>
    <w:rsid w:val="000A16B4"/>
    <w:rsid w:val="000A591E"/>
    <w:rsid w:val="000A5F58"/>
    <w:rsid w:val="000B20EC"/>
    <w:rsid w:val="000B2EB0"/>
    <w:rsid w:val="000B540F"/>
    <w:rsid w:val="000C66AD"/>
    <w:rsid w:val="000D1C3E"/>
    <w:rsid w:val="000D393C"/>
    <w:rsid w:val="000D59B9"/>
    <w:rsid w:val="000D731A"/>
    <w:rsid w:val="000E0BBF"/>
    <w:rsid w:val="000E161E"/>
    <w:rsid w:val="000E373E"/>
    <w:rsid w:val="000E39ED"/>
    <w:rsid w:val="000F039B"/>
    <w:rsid w:val="000F1B57"/>
    <w:rsid w:val="000F375B"/>
    <w:rsid w:val="000F7522"/>
    <w:rsid w:val="000F774D"/>
    <w:rsid w:val="00102A15"/>
    <w:rsid w:val="00105085"/>
    <w:rsid w:val="0010762E"/>
    <w:rsid w:val="001110E2"/>
    <w:rsid w:val="00115F18"/>
    <w:rsid w:val="00116389"/>
    <w:rsid w:val="001213E2"/>
    <w:rsid w:val="00122530"/>
    <w:rsid w:val="0012487D"/>
    <w:rsid w:val="0013058C"/>
    <w:rsid w:val="00134B3B"/>
    <w:rsid w:val="00135A12"/>
    <w:rsid w:val="00135DF6"/>
    <w:rsid w:val="00135E74"/>
    <w:rsid w:val="00137AD1"/>
    <w:rsid w:val="00137C59"/>
    <w:rsid w:val="001473F4"/>
    <w:rsid w:val="001603C8"/>
    <w:rsid w:val="00166E08"/>
    <w:rsid w:val="00167D92"/>
    <w:rsid w:val="00171A1F"/>
    <w:rsid w:val="00180202"/>
    <w:rsid w:val="00180297"/>
    <w:rsid w:val="00180506"/>
    <w:rsid w:val="00190FB0"/>
    <w:rsid w:val="001913F2"/>
    <w:rsid w:val="00193AAA"/>
    <w:rsid w:val="00193F80"/>
    <w:rsid w:val="00195C8D"/>
    <w:rsid w:val="00196BCA"/>
    <w:rsid w:val="001A42DA"/>
    <w:rsid w:val="001A5F63"/>
    <w:rsid w:val="001A796C"/>
    <w:rsid w:val="001B069C"/>
    <w:rsid w:val="001B07C5"/>
    <w:rsid w:val="001B4C64"/>
    <w:rsid w:val="001B4F5A"/>
    <w:rsid w:val="001B7A66"/>
    <w:rsid w:val="001C25FD"/>
    <w:rsid w:val="001C2AF4"/>
    <w:rsid w:val="001C2D83"/>
    <w:rsid w:val="001C342C"/>
    <w:rsid w:val="001C6119"/>
    <w:rsid w:val="001D01E5"/>
    <w:rsid w:val="001D04D5"/>
    <w:rsid w:val="001D0B98"/>
    <w:rsid w:val="001D2961"/>
    <w:rsid w:val="001D4060"/>
    <w:rsid w:val="001E251F"/>
    <w:rsid w:val="001E5206"/>
    <w:rsid w:val="001F26BD"/>
    <w:rsid w:val="001F6893"/>
    <w:rsid w:val="002032E9"/>
    <w:rsid w:val="00203815"/>
    <w:rsid w:val="00204861"/>
    <w:rsid w:val="002112B3"/>
    <w:rsid w:val="00211CEE"/>
    <w:rsid w:val="002151F7"/>
    <w:rsid w:val="002154CB"/>
    <w:rsid w:val="00216D6F"/>
    <w:rsid w:val="00217DFF"/>
    <w:rsid w:val="0022056F"/>
    <w:rsid w:val="002302B9"/>
    <w:rsid w:val="00231A43"/>
    <w:rsid w:val="00232FA2"/>
    <w:rsid w:val="00233481"/>
    <w:rsid w:val="002340F9"/>
    <w:rsid w:val="00236504"/>
    <w:rsid w:val="002374C9"/>
    <w:rsid w:val="00240E53"/>
    <w:rsid w:val="00241B12"/>
    <w:rsid w:val="00251D99"/>
    <w:rsid w:val="00255127"/>
    <w:rsid w:val="00260A91"/>
    <w:rsid w:val="00260BFF"/>
    <w:rsid w:val="00266064"/>
    <w:rsid w:val="00270965"/>
    <w:rsid w:val="0028293A"/>
    <w:rsid w:val="002861A3"/>
    <w:rsid w:val="0029055F"/>
    <w:rsid w:val="00291A77"/>
    <w:rsid w:val="00297B04"/>
    <w:rsid w:val="002A1792"/>
    <w:rsid w:val="002A26A9"/>
    <w:rsid w:val="002A45E5"/>
    <w:rsid w:val="002A46C5"/>
    <w:rsid w:val="002B07FC"/>
    <w:rsid w:val="002B14E7"/>
    <w:rsid w:val="002B1D8A"/>
    <w:rsid w:val="002B7493"/>
    <w:rsid w:val="002C01A8"/>
    <w:rsid w:val="002C3784"/>
    <w:rsid w:val="002C4350"/>
    <w:rsid w:val="002C46A1"/>
    <w:rsid w:val="002C621B"/>
    <w:rsid w:val="002C7EA5"/>
    <w:rsid w:val="002D033B"/>
    <w:rsid w:val="002D47F1"/>
    <w:rsid w:val="002D4A99"/>
    <w:rsid w:val="002E50F2"/>
    <w:rsid w:val="002E6AB2"/>
    <w:rsid w:val="002E76EE"/>
    <w:rsid w:val="002F0883"/>
    <w:rsid w:val="002F1E50"/>
    <w:rsid w:val="002F2F47"/>
    <w:rsid w:val="002F420C"/>
    <w:rsid w:val="002F42FB"/>
    <w:rsid w:val="00300189"/>
    <w:rsid w:val="00305626"/>
    <w:rsid w:val="00306992"/>
    <w:rsid w:val="00311B45"/>
    <w:rsid w:val="00311FAA"/>
    <w:rsid w:val="00312020"/>
    <w:rsid w:val="003132FF"/>
    <w:rsid w:val="00317915"/>
    <w:rsid w:val="003201D0"/>
    <w:rsid w:val="00322315"/>
    <w:rsid w:val="00323FDF"/>
    <w:rsid w:val="00324F1D"/>
    <w:rsid w:val="003263EC"/>
    <w:rsid w:val="0032760D"/>
    <w:rsid w:val="00334E4B"/>
    <w:rsid w:val="00337719"/>
    <w:rsid w:val="0034076A"/>
    <w:rsid w:val="00342C23"/>
    <w:rsid w:val="00343686"/>
    <w:rsid w:val="00344CB7"/>
    <w:rsid w:val="00350C40"/>
    <w:rsid w:val="0035187C"/>
    <w:rsid w:val="003554CE"/>
    <w:rsid w:val="00357D23"/>
    <w:rsid w:val="00360698"/>
    <w:rsid w:val="0036537D"/>
    <w:rsid w:val="0036677B"/>
    <w:rsid w:val="00366885"/>
    <w:rsid w:val="00373630"/>
    <w:rsid w:val="00380F72"/>
    <w:rsid w:val="00381D83"/>
    <w:rsid w:val="00384C26"/>
    <w:rsid w:val="00391E21"/>
    <w:rsid w:val="00393780"/>
    <w:rsid w:val="003A51E9"/>
    <w:rsid w:val="003C393A"/>
    <w:rsid w:val="003C48CC"/>
    <w:rsid w:val="003C5A25"/>
    <w:rsid w:val="003C7411"/>
    <w:rsid w:val="003D392B"/>
    <w:rsid w:val="003D4BB0"/>
    <w:rsid w:val="003F1580"/>
    <w:rsid w:val="003F3B8D"/>
    <w:rsid w:val="003F439B"/>
    <w:rsid w:val="003F5498"/>
    <w:rsid w:val="003F6FE7"/>
    <w:rsid w:val="00400227"/>
    <w:rsid w:val="00400DA4"/>
    <w:rsid w:val="00403AAF"/>
    <w:rsid w:val="00404598"/>
    <w:rsid w:val="0040479F"/>
    <w:rsid w:val="00410985"/>
    <w:rsid w:val="00411BFD"/>
    <w:rsid w:val="00411CA6"/>
    <w:rsid w:val="00413645"/>
    <w:rsid w:val="004246CC"/>
    <w:rsid w:val="00426967"/>
    <w:rsid w:val="004315DE"/>
    <w:rsid w:val="00431B14"/>
    <w:rsid w:val="00434E47"/>
    <w:rsid w:val="00436645"/>
    <w:rsid w:val="00442F17"/>
    <w:rsid w:val="004455A1"/>
    <w:rsid w:val="00451D12"/>
    <w:rsid w:val="0045436E"/>
    <w:rsid w:val="00455758"/>
    <w:rsid w:val="00455F05"/>
    <w:rsid w:val="00456955"/>
    <w:rsid w:val="00462A6A"/>
    <w:rsid w:val="00463C40"/>
    <w:rsid w:val="004651E5"/>
    <w:rsid w:val="00466117"/>
    <w:rsid w:val="0046650C"/>
    <w:rsid w:val="004717AC"/>
    <w:rsid w:val="00471B45"/>
    <w:rsid w:val="00472CC5"/>
    <w:rsid w:val="00485C2E"/>
    <w:rsid w:val="004879BF"/>
    <w:rsid w:val="00490815"/>
    <w:rsid w:val="0049187A"/>
    <w:rsid w:val="00492403"/>
    <w:rsid w:val="0049567E"/>
    <w:rsid w:val="0049580E"/>
    <w:rsid w:val="00496E34"/>
    <w:rsid w:val="00496F0F"/>
    <w:rsid w:val="00497575"/>
    <w:rsid w:val="00497849"/>
    <w:rsid w:val="004A4CFB"/>
    <w:rsid w:val="004A5EB4"/>
    <w:rsid w:val="004A75F6"/>
    <w:rsid w:val="004B0622"/>
    <w:rsid w:val="004B569C"/>
    <w:rsid w:val="004B6642"/>
    <w:rsid w:val="004C05C5"/>
    <w:rsid w:val="004C27A1"/>
    <w:rsid w:val="004C32B9"/>
    <w:rsid w:val="004C5025"/>
    <w:rsid w:val="004C6F1D"/>
    <w:rsid w:val="004C6FBC"/>
    <w:rsid w:val="004D0C01"/>
    <w:rsid w:val="004D1BE8"/>
    <w:rsid w:val="004D2D80"/>
    <w:rsid w:val="004D6A96"/>
    <w:rsid w:val="004E0105"/>
    <w:rsid w:val="004E07EA"/>
    <w:rsid w:val="004E45D2"/>
    <w:rsid w:val="004E5FEA"/>
    <w:rsid w:val="004F3F09"/>
    <w:rsid w:val="004F78B7"/>
    <w:rsid w:val="00500370"/>
    <w:rsid w:val="00504644"/>
    <w:rsid w:val="00506134"/>
    <w:rsid w:val="0050637D"/>
    <w:rsid w:val="0051130F"/>
    <w:rsid w:val="00511E1F"/>
    <w:rsid w:val="00511E24"/>
    <w:rsid w:val="005276E7"/>
    <w:rsid w:val="005320E4"/>
    <w:rsid w:val="00542D6D"/>
    <w:rsid w:val="00543562"/>
    <w:rsid w:val="005455FB"/>
    <w:rsid w:val="00550F67"/>
    <w:rsid w:val="00557C56"/>
    <w:rsid w:val="005648F3"/>
    <w:rsid w:val="0056640E"/>
    <w:rsid w:val="00570AC2"/>
    <w:rsid w:val="00572104"/>
    <w:rsid w:val="005725F4"/>
    <w:rsid w:val="005775C3"/>
    <w:rsid w:val="00580126"/>
    <w:rsid w:val="00581504"/>
    <w:rsid w:val="005815AF"/>
    <w:rsid w:val="00581655"/>
    <w:rsid w:val="005820D9"/>
    <w:rsid w:val="00582AB7"/>
    <w:rsid w:val="00586203"/>
    <w:rsid w:val="00591E65"/>
    <w:rsid w:val="005944B5"/>
    <w:rsid w:val="00594EBB"/>
    <w:rsid w:val="00595336"/>
    <w:rsid w:val="00597138"/>
    <w:rsid w:val="005A4B1C"/>
    <w:rsid w:val="005B08E7"/>
    <w:rsid w:val="005B0F05"/>
    <w:rsid w:val="005B1307"/>
    <w:rsid w:val="005B2F2F"/>
    <w:rsid w:val="005B76FF"/>
    <w:rsid w:val="005C446E"/>
    <w:rsid w:val="005D18BE"/>
    <w:rsid w:val="005D1C21"/>
    <w:rsid w:val="005D2574"/>
    <w:rsid w:val="005D4C2D"/>
    <w:rsid w:val="005E2377"/>
    <w:rsid w:val="005E4375"/>
    <w:rsid w:val="005E6C89"/>
    <w:rsid w:val="005E7B7D"/>
    <w:rsid w:val="00602C5D"/>
    <w:rsid w:val="00603C8B"/>
    <w:rsid w:val="0061533B"/>
    <w:rsid w:val="006178D8"/>
    <w:rsid w:val="00617A22"/>
    <w:rsid w:val="006200BF"/>
    <w:rsid w:val="00622709"/>
    <w:rsid w:val="00627FD1"/>
    <w:rsid w:val="0063100D"/>
    <w:rsid w:val="00634694"/>
    <w:rsid w:val="00643088"/>
    <w:rsid w:val="00645BAA"/>
    <w:rsid w:val="0065397A"/>
    <w:rsid w:val="00653AC7"/>
    <w:rsid w:val="00660944"/>
    <w:rsid w:val="006626EF"/>
    <w:rsid w:val="00663ACE"/>
    <w:rsid w:val="00664C37"/>
    <w:rsid w:val="006669D3"/>
    <w:rsid w:val="00670E47"/>
    <w:rsid w:val="006712EC"/>
    <w:rsid w:val="006727F2"/>
    <w:rsid w:val="006801A1"/>
    <w:rsid w:val="006802D1"/>
    <w:rsid w:val="00682ECE"/>
    <w:rsid w:val="00683C0A"/>
    <w:rsid w:val="0068797F"/>
    <w:rsid w:val="00687A57"/>
    <w:rsid w:val="00692840"/>
    <w:rsid w:val="00697644"/>
    <w:rsid w:val="006A4252"/>
    <w:rsid w:val="006A638F"/>
    <w:rsid w:val="006A7B3B"/>
    <w:rsid w:val="006A7CDC"/>
    <w:rsid w:val="006B13B1"/>
    <w:rsid w:val="006C115D"/>
    <w:rsid w:val="006C3605"/>
    <w:rsid w:val="006C6D75"/>
    <w:rsid w:val="006D69E8"/>
    <w:rsid w:val="006D6FEB"/>
    <w:rsid w:val="006E18A2"/>
    <w:rsid w:val="006E5286"/>
    <w:rsid w:val="006E547A"/>
    <w:rsid w:val="006E5ACC"/>
    <w:rsid w:val="006F09A8"/>
    <w:rsid w:val="006F19E8"/>
    <w:rsid w:val="006F2F02"/>
    <w:rsid w:val="006F4381"/>
    <w:rsid w:val="00700D51"/>
    <w:rsid w:val="0070245D"/>
    <w:rsid w:val="00703949"/>
    <w:rsid w:val="0070624E"/>
    <w:rsid w:val="007127A9"/>
    <w:rsid w:val="00714AF5"/>
    <w:rsid w:val="00716CC3"/>
    <w:rsid w:val="007178FA"/>
    <w:rsid w:val="00720533"/>
    <w:rsid w:val="00720D71"/>
    <w:rsid w:val="007225CD"/>
    <w:rsid w:val="0072326C"/>
    <w:rsid w:val="007242BD"/>
    <w:rsid w:val="007251F5"/>
    <w:rsid w:val="00725AF7"/>
    <w:rsid w:val="007319BC"/>
    <w:rsid w:val="0073302F"/>
    <w:rsid w:val="00733FC9"/>
    <w:rsid w:val="007349F5"/>
    <w:rsid w:val="00734E26"/>
    <w:rsid w:val="00734F69"/>
    <w:rsid w:val="00740D1C"/>
    <w:rsid w:val="00746089"/>
    <w:rsid w:val="00751774"/>
    <w:rsid w:val="00752704"/>
    <w:rsid w:val="007568A4"/>
    <w:rsid w:val="00757799"/>
    <w:rsid w:val="00765334"/>
    <w:rsid w:val="00766F75"/>
    <w:rsid w:val="007703DE"/>
    <w:rsid w:val="00770B0C"/>
    <w:rsid w:val="00776BEE"/>
    <w:rsid w:val="00783D1F"/>
    <w:rsid w:val="00784E33"/>
    <w:rsid w:val="007857E1"/>
    <w:rsid w:val="00785BE0"/>
    <w:rsid w:val="0078640F"/>
    <w:rsid w:val="00787ECC"/>
    <w:rsid w:val="007916DE"/>
    <w:rsid w:val="00792A0D"/>
    <w:rsid w:val="0079345B"/>
    <w:rsid w:val="007A091D"/>
    <w:rsid w:val="007A13B9"/>
    <w:rsid w:val="007A1FB7"/>
    <w:rsid w:val="007A2E04"/>
    <w:rsid w:val="007A43A6"/>
    <w:rsid w:val="007A5D96"/>
    <w:rsid w:val="007B5A49"/>
    <w:rsid w:val="007D03AB"/>
    <w:rsid w:val="007D3CD6"/>
    <w:rsid w:val="007E074B"/>
    <w:rsid w:val="007E0E25"/>
    <w:rsid w:val="007E1E2E"/>
    <w:rsid w:val="007E3B69"/>
    <w:rsid w:val="007E4A50"/>
    <w:rsid w:val="007F0857"/>
    <w:rsid w:val="007F145E"/>
    <w:rsid w:val="007F52D3"/>
    <w:rsid w:val="008015C5"/>
    <w:rsid w:val="0080221C"/>
    <w:rsid w:val="0080515E"/>
    <w:rsid w:val="00805578"/>
    <w:rsid w:val="00807383"/>
    <w:rsid w:val="008126B2"/>
    <w:rsid w:val="008131BF"/>
    <w:rsid w:val="008147A2"/>
    <w:rsid w:val="00814CA4"/>
    <w:rsid w:val="00822A90"/>
    <w:rsid w:val="00823EA3"/>
    <w:rsid w:val="008279FB"/>
    <w:rsid w:val="00827ACC"/>
    <w:rsid w:val="00830423"/>
    <w:rsid w:val="0083154B"/>
    <w:rsid w:val="008406EF"/>
    <w:rsid w:val="00844B95"/>
    <w:rsid w:val="00845655"/>
    <w:rsid w:val="00845B87"/>
    <w:rsid w:val="008519CB"/>
    <w:rsid w:val="00854ED4"/>
    <w:rsid w:val="00857B41"/>
    <w:rsid w:val="008603DF"/>
    <w:rsid w:val="00864209"/>
    <w:rsid w:val="00864A06"/>
    <w:rsid w:val="00872438"/>
    <w:rsid w:val="008734B3"/>
    <w:rsid w:val="0087654F"/>
    <w:rsid w:val="0088320E"/>
    <w:rsid w:val="008930DE"/>
    <w:rsid w:val="008931C7"/>
    <w:rsid w:val="00893273"/>
    <w:rsid w:val="00895203"/>
    <w:rsid w:val="00896E3C"/>
    <w:rsid w:val="008A4877"/>
    <w:rsid w:val="008A7A6E"/>
    <w:rsid w:val="008C36A2"/>
    <w:rsid w:val="008C4097"/>
    <w:rsid w:val="008C5E37"/>
    <w:rsid w:val="008C7744"/>
    <w:rsid w:val="008D14D2"/>
    <w:rsid w:val="008D2D1D"/>
    <w:rsid w:val="008D3959"/>
    <w:rsid w:val="008E062D"/>
    <w:rsid w:val="008E0CAE"/>
    <w:rsid w:val="008E5218"/>
    <w:rsid w:val="008E78D2"/>
    <w:rsid w:val="008E7A5C"/>
    <w:rsid w:val="008F0CDE"/>
    <w:rsid w:val="008F3B7E"/>
    <w:rsid w:val="008F62B1"/>
    <w:rsid w:val="008F7511"/>
    <w:rsid w:val="00902E65"/>
    <w:rsid w:val="00903BCE"/>
    <w:rsid w:val="00906237"/>
    <w:rsid w:val="009105BD"/>
    <w:rsid w:val="00915672"/>
    <w:rsid w:val="00922B17"/>
    <w:rsid w:val="009234AF"/>
    <w:rsid w:val="00937339"/>
    <w:rsid w:val="009405AF"/>
    <w:rsid w:val="00943003"/>
    <w:rsid w:val="00945AD8"/>
    <w:rsid w:val="00945BFB"/>
    <w:rsid w:val="00946032"/>
    <w:rsid w:val="00950392"/>
    <w:rsid w:val="00951890"/>
    <w:rsid w:val="00954CA6"/>
    <w:rsid w:val="00956318"/>
    <w:rsid w:val="0095762B"/>
    <w:rsid w:val="009577E2"/>
    <w:rsid w:val="00960265"/>
    <w:rsid w:val="009612D4"/>
    <w:rsid w:val="009644B5"/>
    <w:rsid w:val="00966111"/>
    <w:rsid w:val="00967126"/>
    <w:rsid w:val="0097184B"/>
    <w:rsid w:val="00973D94"/>
    <w:rsid w:val="0097768E"/>
    <w:rsid w:val="009811F8"/>
    <w:rsid w:val="00983061"/>
    <w:rsid w:val="00987A76"/>
    <w:rsid w:val="00990344"/>
    <w:rsid w:val="00995AC9"/>
    <w:rsid w:val="00997736"/>
    <w:rsid w:val="009A0CA9"/>
    <w:rsid w:val="009A2A1E"/>
    <w:rsid w:val="009A4F57"/>
    <w:rsid w:val="009B2503"/>
    <w:rsid w:val="009B4B08"/>
    <w:rsid w:val="009C0671"/>
    <w:rsid w:val="009C0B4A"/>
    <w:rsid w:val="009C1A0E"/>
    <w:rsid w:val="009C2B6A"/>
    <w:rsid w:val="009C3829"/>
    <w:rsid w:val="009D4B78"/>
    <w:rsid w:val="009D5889"/>
    <w:rsid w:val="009D7F4F"/>
    <w:rsid w:val="009E0195"/>
    <w:rsid w:val="009E0253"/>
    <w:rsid w:val="009E2397"/>
    <w:rsid w:val="009E3548"/>
    <w:rsid w:val="009E42C1"/>
    <w:rsid w:val="009F3411"/>
    <w:rsid w:val="009F5229"/>
    <w:rsid w:val="009F59A0"/>
    <w:rsid w:val="009F7D0B"/>
    <w:rsid w:val="00A0277B"/>
    <w:rsid w:val="00A049BE"/>
    <w:rsid w:val="00A13E1E"/>
    <w:rsid w:val="00A158EB"/>
    <w:rsid w:val="00A15A98"/>
    <w:rsid w:val="00A15BFD"/>
    <w:rsid w:val="00A16103"/>
    <w:rsid w:val="00A21A7E"/>
    <w:rsid w:val="00A26483"/>
    <w:rsid w:val="00A30325"/>
    <w:rsid w:val="00A30F11"/>
    <w:rsid w:val="00A36528"/>
    <w:rsid w:val="00A41AEA"/>
    <w:rsid w:val="00A41BD3"/>
    <w:rsid w:val="00A42067"/>
    <w:rsid w:val="00A44F79"/>
    <w:rsid w:val="00A4561F"/>
    <w:rsid w:val="00A4605F"/>
    <w:rsid w:val="00A5045F"/>
    <w:rsid w:val="00A53395"/>
    <w:rsid w:val="00A53B30"/>
    <w:rsid w:val="00A572C6"/>
    <w:rsid w:val="00A60A53"/>
    <w:rsid w:val="00A61A82"/>
    <w:rsid w:val="00A64AA5"/>
    <w:rsid w:val="00A65058"/>
    <w:rsid w:val="00A71F00"/>
    <w:rsid w:val="00A72028"/>
    <w:rsid w:val="00A7633B"/>
    <w:rsid w:val="00A819D6"/>
    <w:rsid w:val="00A83FEF"/>
    <w:rsid w:val="00A853C7"/>
    <w:rsid w:val="00A865F6"/>
    <w:rsid w:val="00A907E2"/>
    <w:rsid w:val="00A94914"/>
    <w:rsid w:val="00A96B45"/>
    <w:rsid w:val="00AA1831"/>
    <w:rsid w:val="00AA2B80"/>
    <w:rsid w:val="00AA3497"/>
    <w:rsid w:val="00AA44B4"/>
    <w:rsid w:val="00AA52D9"/>
    <w:rsid w:val="00AA639A"/>
    <w:rsid w:val="00AA64FF"/>
    <w:rsid w:val="00AA6D2B"/>
    <w:rsid w:val="00AA7B69"/>
    <w:rsid w:val="00AA7FA1"/>
    <w:rsid w:val="00AB3730"/>
    <w:rsid w:val="00AB3BE3"/>
    <w:rsid w:val="00AB59CE"/>
    <w:rsid w:val="00AC09E7"/>
    <w:rsid w:val="00AC4698"/>
    <w:rsid w:val="00AC6B39"/>
    <w:rsid w:val="00AC7633"/>
    <w:rsid w:val="00AD1095"/>
    <w:rsid w:val="00AD1671"/>
    <w:rsid w:val="00AD3A8D"/>
    <w:rsid w:val="00AD6807"/>
    <w:rsid w:val="00AE11F6"/>
    <w:rsid w:val="00AE18EF"/>
    <w:rsid w:val="00AE541C"/>
    <w:rsid w:val="00AE5A93"/>
    <w:rsid w:val="00AE5C0C"/>
    <w:rsid w:val="00AF31B9"/>
    <w:rsid w:val="00AF50E1"/>
    <w:rsid w:val="00AF6059"/>
    <w:rsid w:val="00AF61F7"/>
    <w:rsid w:val="00AF7A3E"/>
    <w:rsid w:val="00B0140F"/>
    <w:rsid w:val="00B01A1E"/>
    <w:rsid w:val="00B01CF6"/>
    <w:rsid w:val="00B071DC"/>
    <w:rsid w:val="00B10E4C"/>
    <w:rsid w:val="00B11C74"/>
    <w:rsid w:val="00B14624"/>
    <w:rsid w:val="00B222B3"/>
    <w:rsid w:val="00B226E2"/>
    <w:rsid w:val="00B2378C"/>
    <w:rsid w:val="00B238CB"/>
    <w:rsid w:val="00B30C8E"/>
    <w:rsid w:val="00B34C28"/>
    <w:rsid w:val="00B373A7"/>
    <w:rsid w:val="00B37B3E"/>
    <w:rsid w:val="00B426E7"/>
    <w:rsid w:val="00B462C4"/>
    <w:rsid w:val="00B501A7"/>
    <w:rsid w:val="00B51210"/>
    <w:rsid w:val="00B57DD0"/>
    <w:rsid w:val="00B6316A"/>
    <w:rsid w:val="00B636F8"/>
    <w:rsid w:val="00B65E14"/>
    <w:rsid w:val="00B707EB"/>
    <w:rsid w:val="00B7116E"/>
    <w:rsid w:val="00B72F11"/>
    <w:rsid w:val="00B735AA"/>
    <w:rsid w:val="00B76CDD"/>
    <w:rsid w:val="00B77BF8"/>
    <w:rsid w:val="00B81F92"/>
    <w:rsid w:val="00B82B79"/>
    <w:rsid w:val="00B9112C"/>
    <w:rsid w:val="00B915EC"/>
    <w:rsid w:val="00B92484"/>
    <w:rsid w:val="00B96B11"/>
    <w:rsid w:val="00BA50CE"/>
    <w:rsid w:val="00BB065D"/>
    <w:rsid w:val="00BB2EAC"/>
    <w:rsid w:val="00BB37F1"/>
    <w:rsid w:val="00BB5BA1"/>
    <w:rsid w:val="00BB5C5B"/>
    <w:rsid w:val="00BC10C8"/>
    <w:rsid w:val="00BC27AB"/>
    <w:rsid w:val="00BC2966"/>
    <w:rsid w:val="00BC7DD6"/>
    <w:rsid w:val="00BD2286"/>
    <w:rsid w:val="00BD5E67"/>
    <w:rsid w:val="00BD7115"/>
    <w:rsid w:val="00BE01A4"/>
    <w:rsid w:val="00BE1625"/>
    <w:rsid w:val="00BE3493"/>
    <w:rsid w:val="00BE6814"/>
    <w:rsid w:val="00BF1A93"/>
    <w:rsid w:val="00BF4839"/>
    <w:rsid w:val="00BF7794"/>
    <w:rsid w:val="00C00EC0"/>
    <w:rsid w:val="00C02B23"/>
    <w:rsid w:val="00C0379C"/>
    <w:rsid w:val="00C04537"/>
    <w:rsid w:val="00C06AA2"/>
    <w:rsid w:val="00C07438"/>
    <w:rsid w:val="00C11C3F"/>
    <w:rsid w:val="00C120C1"/>
    <w:rsid w:val="00C136F6"/>
    <w:rsid w:val="00C139FA"/>
    <w:rsid w:val="00C1582E"/>
    <w:rsid w:val="00C16CE2"/>
    <w:rsid w:val="00C21CA0"/>
    <w:rsid w:val="00C25B27"/>
    <w:rsid w:val="00C26D63"/>
    <w:rsid w:val="00C32D31"/>
    <w:rsid w:val="00C32FC8"/>
    <w:rsid w:val="00C3333C"/>
    <w:rsid w:val="00C40475"/>
    <w:rsid w:val="00C411BA"/>
    <w:rsid w:val="00C42332"/>
    <w:rsid w:val="00C42FCB"/>
    <w:rsid w:val="00C44989"/>
    <w:rsid w:val="00C4680F"/>
    <w:rsid w:val="00C46BB1"/>
    <w:rsid w:val="00C51252"/>
    <w:rsid w:val="00C52E69"/>
    <w:rsid w:val="00C547F7"/>
    <w:rsid w:val="00C5525C"/>
    <w:rsid w:val="00C55EB8"/>
    <w:rsid w:val="00C6080E"/>
    <w:rsid w:val="00C61F45"/>
    <w:rsid w:val="00C64250"/>
    <w:rsid w:val="00C6597D"/>
    <w:rsid w:val="00C71A42"/>
    <w:rsid w:val="00C83A2B"/>
    <w:rsid w:val="00C85892"/>
    <w:rsid w:val="00C9195E"/>
    <w:rsid w:val="00C91CE6"/>
    <w:rsid w:val="00C92663"/>
    <w:rsid w:val="00C94D1D"/>
    <w:rsid w:val="00C95896"/>
    <w:rsid w:val="00C95CA5"/>
    <w:rsid w:val="00CA3366"/>
    <w:rsid w:val="00CA3CA2"/>
    <w:rsid w:val="00CB2782"/>
    <w:rsid w:val="00CB5459"/>
    <w:rsid w:val="00CC1DA0"/>
    <w:rsid w:val="00CC57A9"/>
    <w:rsid w:val="00CC5FD1"/>
    <w:rsid w:val="00CD24B7"/>
    <w:rsid w:val="00CD4B2D"/>
    <w:rsid w:val="00CE315A"/>
    <w:rsid w:val="00CE4467"/>
    <w:rsid w:val="00CF033A"/>
    <w:rsid w:val="00CF2D1A"/>
    <w:rsid w:val="00CF4760"/>
    <w:rsid w:val="00CF5240"/>
    <w:rsid w:val="00CF6CEA"/>
    <w:rsid w:val="00D00A9C"/>
    <w:rsid w:val="00D01AC8"/>
    <w:rsid w:val="00D02012"/>
    <w:rsid w:val="00D044E1"/>
    <w:rsid w:val="00D061B9"/>
    <w:rsid w:val="00D065A5"/>
    <w:rsid w:val="00D06F6F"/>
    <w:rsid w:val="00D1330C"/>
    <w:rsid w:val="00D15293"/>
    <w:rsid w:val="00D165E0"/>
    <w:rsid w:val="00D17C23"/>
    <w:rsid w:val="00D26B05"/>
    <w:rsid w:val="00D303D7"/>
    <w:rsid w:val="00D3084D"/>
    <w:rsid w:val="00D3267B"/>
    <w:rsid w:val="00D355E9"/>
    <w:rsid w:val="00D35F1F"/>
    <w:rsid w:val="00D412D5"/>
    <w:rsid w:val="00D4159E"/>
    <w:rsid w:val="00D427BD"/>
    <w:rsid w:val="00D436C0"/>
    <w:rsid w:val="00D52B46"/>
    <w:rsid w:val="00D63CF9"/>
    <w:rsid w:val="00D710F4"/>
    <w:rsid w:val="00D73D51"/>
    <w:rsid w:val="00D73D74"/>
    <w:rsid w:val="00D74D97"/>
    <w:rsid w:val="00D80287"/>
    <w:rsid w:val="00D83F4D"/>
    <w:rsid w:val="00D914CB"/>
    <w:rsid w:val="00D92CD5"/>
    <w:rsid w:val="00D9554D"/>
    <w:rsid w:val="00DA010D"/>
    <w:rsid w:val="00DA0A4B"/>
    <w:rsid w:val="00DA0ACE"/>
    <w:rsid w:val="00DA0E80"/>
    <w:rsid w:val="00DA1500"/>
    <w:rsid w:val="00DB1B1F"/>
    <w:rsid w:val="00DB4748"/>
    <w:rsid w:val="00DB77A4"/>
    <w:rsid w:val="00DC01E5"/>
    <w:rsid w:val="00DC1743"/>
    <w:rsid w:val="00DC2C5B"/>
    <w:rsid w:val="00DC3DDA"/>
    <w:rsid w:val="00DC7DA8"/>
    <w:rsid w:val="00DD045E"/>
    <w:rsid w:val="00DD7D76"/>
    <w:rsid w:val="00DE1C90"/>
    <w:rsid w:val="00DE2D92"/>
    <w:rsid w:val="00DF507B"/>
    <w:rsid w:val="00DF6085"/>
    <w:rsid w:val="00DF6E3B"/>
    <w:rsid w:val="00E00165"/>
    <w:rsid w:val="00E0306B"/>
    <w:rsid w:val="00E04CD7"/>
    <w:rsid w:val="00E257B9"/>
    <w:rsid w:val="00E272B9"/>
    <w:rsid w:val="00E3046D"/>
    <w:rsid w:val="00E31801"/>
    <w:rsid w:val="00E349AB"/>
    <w:rsid w:val="00E424ED"/>
    <w:rsid w:val="00E4461A"/>
    <w:rsid w:val="00E46444"/>
    <w:rsid w:val="00E506E3"/>
    <w:rsid w:val="00E52F4F"/>
    <w:rsid w:val="00E53A01"/>
    <w:rsid w:val="00E55EAA"/>
    <w:rsid w:val="00E56A57"/>
    <w:rsid w:val="00E579CB"/>
    <w:rsid w:val="00E57B5C"/>
    <w:rsid w:val="00E61ED4"/>
    <w:rsid w:val="00E715ED"/>
    <w:rsid w:val="00E72CE6"/>
    <w:rsid w:val="00E746ED"/>
    <w:rsid w:val="00E7562B"/>
    <w:rsid w:val="00E764DB"/>
    <w:rsid w:val="00E7671C"/>
    <w:rsid w:val="00E83743"/>
    <w:rsid w:val="00E851CE"/>
    <w:rsid w:val="00E877B1"/>
    <w:rsid w:val="00E87DA4"/>
    <w:rsid w:val="00E91225"/>
    <w:rsid w:val="00E92759"/>
    <w:rsid w:val="00E97C87"/>
    <w:rsid w:val="00EA2AD0"/>
    <w:rsid w:val="00EA3256"/>
    <w:rsid w:val="00EA76DF"/>
    <w:rsid w:val="00EA7938"/>
    <w:rsid w:val="00EB3749"/>
    <w:rsid w:val="00EB5CC8"/>
    <w:rsid w:val="00EC0462"/>
    <w:rsid w:val="00EC3135"/>
    <w:rsid w:val="00EC49C8"/>
    <w:rsid w:val="00EC4F89"/>
    <w:rsid w:val="00EC4FDF"/>
    <w:rsid w:val="00EC72CA"/>
    <w:rsid w:val="00ED11AE"/>
    <w:rsid w:val="00ED2372"/>
    <w:rsid w:val="00ED29DF"/>
    <w:rsid w:val="00ED2CD8"/>
    <w:rsid w:val="00ED398B"/>
    <w:rsid w:val="00ED7F22"/>
    <w:rsid w:val="00EE0DF4"/>
    <w:rsid w:val="00EE15EC"/>
    <w:rsid w:val="00EF08B3"/>
    <w:rsid w:val="00EF25C0"/>
    <w:rsid w:val="00EF65F0"/>
    <w:rsid w:val="00F01BB1"/>
    <w:rsid w:val="00F029BA"/>
    <w:rsid w:val="00F02F46"/>
    <w:rsid w:val="00F05119"/>
    <w:rsid w:val="00F12116"/>
    <w:rsid w:val="00F12528"/>
    <w:rsid w:val="00F12C1D"/>
    <w:rsid w:val="00F13D5E"/>
    <w:rsid w:val="00F1547E"/>
    <w:rsid w:val="00F16845"/>
    <w:rsid w:val="00F1694E"/>
    <w:rsid w:val="00F171A1"/>
    <w:rsid w:val="00F2042C"/>
    <w:rsid w:val="00F2519C"/>
    <w:rsid w:val="00F25E21"/>
    <w:rsid w:val="00F26497"/>
    <w:rsid w:val="00F33D22"/>
    <w:rsid w:val="00F35199"/>
    <w:rsid w:val="00F364E0"/>
    <w:rsid w:val="00F4428D"/>
    <w:rsid w:val="00F53105"/>
    <w:rsid w:val="00F6208E"/>
    <w:rsid w:val="00F63AD8"/>
    <w:rsid w:val="00F63D78"/>
    <w:rsid w:val="00F64891"/>
    <w:rsid w:val="00F65A3A"/>
    <w:rsid w:val="00F66176"/>
    <w:rsid w:val="00F7126F"/>
    <w:rsid w:val="00F71D50"/>
    <w:rsid w:val="00F7406A"/>
    <w:rsid w:val="00F80BBC"/>
    <w:rsid w:val="00F81531"/>
    <w:rsid w:val="00F83896"/>
    <w:rsid w:val="00F84CE9"/>
    <w:rsid w:val="00F869A3"/>
    <w:rsid w:val="00F878E1"/>
    <w:rsid w:val="00F90963"/>
    <w:rsid w:val="00F9169C"/>
    <w:rsid w:val="00F93005"/>
    <w:rsid w:val="00F9373F"/>
    <w:rsid w:val="00F97D78"/>
    <w:rsid w:val="00FA0910"/>
    <w:rsid w:val="00FA2923"/>
    <w:rsid w:val="00FA3C38"/>
    <w:rsid w:val="00FA4341"/>
    <w:rsid w:val="00FB61A5"/>
    <w:rsid w:val="00FC3365"/>
    <w:rsid w:val="00FC375D"/>
    <w:rsid w:val="00FC3906"/>
    <w:rsid w:val="00FC6795"/>
    <w:rsid w:val="00FD2E4E"/>
    <w:rsid w:val="00FD4541"/>
    <w:rsid w:val="00FD5FB6"/>
    <w:rsid w:val="00FE35C7"/>
    <w:rsid w:val="00FE643B"/>
    <w:rsid w:val="00FE7FF8"/>
    <w:rsid w:val="00FF08A6"/>
    <w:rsid w:val="00FF31A8"/>
    <w:rsid w:val="00FF36D8"/>
    <w:rsid w:val="00FF5E78"/>
    <w:rsid w:val="00FF694B"/>
    <w:rsid w:val="00FF76AE"/>
    <w:rsid w:val="00FF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D508C2"/>
  <w15:docId w15:val="{EB387891-2BA9-4DFC-A0C5-939D07D70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jc w:val="both"/>
    </w:pPr>
    <w:rPr>
      <w:rFonts w:cs="Arial Unicode MS"/>
      <w:color w:val="000000"/>
      <w:sz w:val="28"/>
      <w:szCs w:val="28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8015C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15C5"/>
    <w:rPr>
      <w:rFonts w:cs="Arial Unicode MS"/>
      <w:color w:val="000000"/>
      <w:sz w:val="28"/>
      <w:szCs w:val="28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8015C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15C5"/>
    <w:rPr>
      <w:rFonts w:cs="Arial Unicode MS"/>
      <w:color w:val="000000"/>
      <w:sz w:val="28"/>
      <w:szCs w:val="28"/>
      <w:u w:color="00000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C7EA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C7EA5"/>
    <w:rPr>
      <w:rFonts w:ascii="Segoe UI" w:hAnsi="Segoe UI" w:cs="Segoe UI"/>
      <w:color w:val="000000"/>
      <w:sz w:val="18"/>
      <w:szCs w:val="18"/>
      <w:u w:color="000000"/>
    </w:rPr>
  </w:style>
  <w:style w:type="paragraph" w:styleId="Paragrafoelenco">
    <w:name w:val="List Paragraph"/>
    <w:basedOn w:val="Normale"/>
    <w:uiPriority w:val="34"/>
    <w:qFormat/>
    <w:rsid w:val="00E61ED4"/>
    <w:pPr>
      <w:ind w:left="720"/>
      <w:contextualSpacing/>
    </w:pPr>
  </w:style>
  <w:style w:type="paragraph" w:styleId="Revisione">
    <w:name w:val="Revision"/>
    <w:hidden/>
    <w:uiPriority w:val="99"/>
    <w:semiHidden/>
    <w:rsid w:val="004E5FE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sz w:val="28"/>
      <w:szCs w:val="28"/>
      <w:u w:color="000000"/>
    </w:rPr>
  </w:style>
  <w:style w:type="character" w:styleId="Enfasicorsivo">
    <w:name w:val="Emphasis"/>
    <w:basedOn w:val="Carpredefinitoparagrafo"/>
    <w:uiPriority w:val="20"/>
    <w:qFormat/>
    <w:rsid w:val="00357D23"/>
    <w:rPr>
      <w:i/>
      <w:iCs/>
    </w:rPr>
  </w:style>
  <w:style w:type="character" w:styleId="Menzionenonrisolta">
    <w:name w:val="Unresolved Mention"/>
    <w:basedOn w:val="Carpredefinitoparagrafo"/>
    <w:uiPriority w:val="99"/>
    <w:semiHidden/>
    <w:unhideWhenUsed/>
    <w:rsid w:val="00511E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confindustria.piemonte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F0BCF-FB28-4F1E-91AE-8BDD31D21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Studi Economici UI Torino</dc:creator>
  <cp:lastModifiedBy>Jan Philip Pellissier</cp:lastModifiedBy>
  <cp:revision>2</cp:revision>
  <cp:lastPrinted>2025-01-09T15:43:00Z</cp:lastPrinted>
  <dcterms:created xsi:type="dcterms:W3CDTF">2025-01-09T16:46:00Z</dcterms:created>
  <dcterms:modified xsi:type="dcterms:W3CDTF">2025-01-09T16:46:00Z</dcterms:modified>
</cp:coreProperties>
</file>