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323D7A" w14:textId="77777777" w:rsidR="00511E24" w:rsidRPr="001F23DB" w:rsidRDefault="006802D1" w:rsidP="00E83615">
      <w:pPr>
        <w:jc w:val="center"/>
        <w:rPr>
          <w:rFonts w:ascii="Calibri Light" w:hAnsi="Calibri Light" w:cs="Calibri Light"/>
          <w:b/>
          <w:bCs/>
          <w:color w:val="auto"/>
        </w:rPr>
      </w:pPr>
      <w:r w:rsidRPr="001F23DB">
        <w:rPr>
          <w:rFonts w:ascii="Calibri Light" w:hAnsi="Calibri Light" w:cs="Calibri Light"/>
          <w:b/>
          <w:bCs/>
          <w:color w:val="auto"/>
        </w:rPr>
        <w:t>COMUNICATO STAMPA</w:t>
      </w:r>
    </w:p>
    <w:p w14:paraId="306D5FB1" w14:textId="77777777" w:rsidR="00511E24" w:rsidRPr="001F23DB" w:rsidRDefault="00511E24" w:rsidP="00E83615">
      <w:pPr>
        <w:rPr>
          <w:rFonts w:ascii="Calibri Light" w:hAnsi="Calibri Light" w:cs="Calibri Light"/>
          <w:b/>
          <w:bCs/>
          <w:color w:val="auto"/>
          <w:shd w:val="clear" w:color="auto" w:fill="FFFF00"/>
        </w:rPr>
      </w:pPr>
    </w:p>
    <w:p w14:paraId="6EFCD221" w14:textId="3BE8F690" w:rsidR="003C48CC" w:rsidRPr="001F23DB" w:rsidRDefault="006802D1" w:rsidP="00E83615">
      <w:pPr>
        <w:pBdr>
          <w:top w:val="single" w:sz="4" w:space="0" w:color="000000"/>
          <w:left w:val="single" w:sz="4" w:space="0" w:color="000000"/>
          <w:bottom w:val="single" w:sz="4" w:space="0" w:color="000000"/>
          <w:right w:val="single" w:sz="4" w:space="0" w:color="000000"/>
        </w:pBdr>
        <w:jc w:val="center"/>
        <w:rPr>
          <w:rFonts w:ascii="Calibri Light" w:hAnsi="Calibri Light" w:cs="Calibri Light"/>
          <w:b/>
          <w:bCs/>
          <w:color w:val="auto"/>
        </w:rPr>
      </w:pPr>
      <w:r w:rsidRPr="001F23DB">
        <w:rPr>
          <w:rFonts w:ascii="Calibri Light" w:hAnsi="Calibri Light" w:cs="Calibri Light"/>
          <w:b/>
          <w:bCs/>
          <w:color w:val="auto"/>
        </w:rPr>
        <w:t xml:space="preserve">LE PREVISIONI </w:t>
      </w:r>
      <w:r w:rsidR="003C48CC" w:rsidRPr="001F23DB">
        <w:rPr>
          <w:rFonts w:ascii="Calibri Light" w:hAnsi="Calibri Light" w:cs="Calibri Light"/>
          <w:b/>
          <w:bCs/>
          <w:color w:val="auto"/>
        </w:rPr>
        <w:t xml:space="preserve">DELLE IMPRESE PIEMONTESI </w:t>
      </w:r>
    </w:p>
    <w:p w14:paraId="74162B1B" w14:textId="72248FEA" w:rsidR="00511E24" w:rsidRPr="001F23DB" w:rsidRDefault="00171C0E" w:rsidP="00E83615">
      <w:pPr>
        <w:pBdr>
          <w:top w:val="single" w:sz="4" w:space="0" w:color="000000"/>
          <w:left w:val="single" w:sz="4" w:space="0" w:color="000000"/>
          <w:bottom w:val="single" w:sz="4" w:space="0" w:color="000000"/>
          <w:right w:val="single" w:sz="4" w:space="0" w:color="000000"/>
        </w:pBdr>
        <w:jc w:val="center"/>
        <w:rPr>
          <w:rFonts w:ascii="Calibri Light" w:hAnsi="Calibri Light" w:cs="Calibri Light"/>
          <w:b/>
          <w:bCs/>
          <w:color w:val="auto"/>
        </w:rPr>
      </w:pPr>
      <w:r>
        <w:rPr>
          <w:rFonts w:ascii="Calibri Light" w:hAnsi="Calibri Light" w:cs="Calibri Light"/>
          <w:b/>
          <w:bCs/>
          <w:color w:val="auto"/>
        </w:rPr>
        <w:t>SECONDO</w:t>
      </w:r>
      <w:r w:rsidR="003C48CC" w:rsidRPr="001F23DB">
        <w:rPr>
          <w:rFonts w:ascii="Calibri Light" w:hAnsi="Calibri Light" w:cs="Calibri Light"/>
          <w:b/>
          <w:bCs/>
          <w:color w:val="auto"/>
        </w:rPr>
        <w:t xml:space="preserve"> </w:t>
      </w:r>
      <w:r w:rsidR="006802D1" w:rsidRPr="001F23DB">
        <w:rPr>
          <w:rFonts w:ascii="Calibri Light" w:hAnsi="Calibri Light" w:cs="Calibri Light"/>
          <w:b/>
          <w:bCs/>
          <w:color w:val="auto"/>
        </w:rPr>
        <w:t>TRIMESTRE 202</w:t>
      </w:r>
      <w:r w:rsidR="00064159" w:rsidRPr="001F23DB">
        <w:rPr>
          <w:rFonts w:ascii="Calibri Light" w:hAnsi="Calibri Light" w:cs="Calibri Light"/>
          <w:b/>
          <w:bCs/>
          <w:color w:val="auto"/>
        </w:rPr>
        <w:t>4</w:t>
      </w:r>
    </w:p>
    <w:p w14:paraId="11809309" w14:textId="77777777" w:rsidR="00511E24" w:rsidRPr="001F23DB" w:rsidRDefault="00511E24" w:rsidP="00E83615">
      <w:pPr>
        <w:rPr>
          <w:rFonts w:ascii="Calibri Light" w:hAnsi="Calibri Light" w:cs="Calibri Light"/>
          <w:b/>
          <w:bCs/>
          <w:color w:val="auto"/>
          <w:shd w:val="clear" w:color="auto" w:fill="FFFF00"/>
        </w:rPr>
      </w:pPr>
    </w:p>
    <w:p w14:paraId="0C958D39" w14:textId="08348D41" w:rsidR="0078640F" w:rsidRPr="00C11A62" w:rsidRDefault="00C11A62" w:rsidP="00064159">
      <w:pPr>
        <w:jc w:val="right"/>
        <w:rPr>
          <w:rFonts w:ascii="Calibri Light" w:hAnsi="Calibri Light" w:cs="Calibri Light"/>
          <w:color w:val="auto"/>
          <w:sz w:val="22"/>
          <w:szCs w:val="22"/>
          <w:highlight w:val="yellow"/>
        </w:rPr>
      </w:pPr>
      <w:r w:rsidRPr="00C11A62">
        <w:rPr>
          <w:rFonts w:ascii="Calibri Light" w:hAnsi="Calibri Light" w:cs="Calibri Light"/>
          <w:i/>
          <w:iCs/>
          <w:color w:val="auto"/>
          <w:sz w:val="22"/>
          <w:szCs w:val="22"/>
        </w:rPr>
        <w:t xml:space="preserve">Torino, </w:t>
      </w:r>
      <w:r w:rsidR="00171C0E">
        <w:rPr>
          <w:rFonts w:ascii="Calibri Light" w:hAnsi="Calibri Light" w:cs="Calibri Light"/>
          <w:i/>
          <w:iCs/>
          <w:color w:val="auto"/>
          <w:sz w:val="22"/>
          <w:szCs w:val="22"/>
        </w:rPr>
        <w:t>11 aprile 2024</w:t>
      </w:r>
    </w:p>
    <w:p w14:paraId="3DFB77B6" w14:textId="77777777" w:rsidR="00171C0E" w:rsidRPr="00A56E4B" w:rsidRDefault="00171C0E" w:rsidP="00E83615">
      <w:pPr>
        <w:rPr>
          <w:rFonts w:cs="Times New Roman"/>
          <w:color w:val="auto"/>
          <w:highlight w:val="yellow"/>
        </w:rPr>
      </w:pPr>
    </w:p>
    <w:p w14:paraId="717329DB" w14:textId="56AE295A" w:rsidR="00171C0E" w:rsidRPr="00171C0E" w:rsidRDefault="00171C0E" w:rsidP="00171C0E">
      <w:pPr>
        <w:pStyle w:val="Nessunaspaziatura"/>
        <w:spacing w:after="240" w:line="276" w:lineRule="auto"/>
        <w:rPr>
          <w:rFonts w:ascii="Calibri Light" w:hAnsi="Calibri Light" w:cs="Calibri Light"/>
          <w:sz w:val="24"/>
          <w:szCs w:val="24"/>
        </w:rPr>
      </w:pPr>
      <w:r w:rsidRPr="00171C0E">
        <w:rPr>
          <w:rFonts w:ascii="Calibri Light" w:hAnsi="Calibri Light" w:cs="Calibri Light"/>
          <w:sz w:val="24"/>
          <w:szCs w:val="24"/>
        </w:rPr>
        <w:t xml:space="preserve">Dopo tre trimestri di prudenza, tornano positive le attese delle imprese piemontesi per il II trimestre del 2024, così come emergono </w:t>
      </w:r>
      <w:r>
        <w:rPr>
          <w:rFonts w:ascii="Calibri Light" w:hAnsi="Calibri Light" w:cs="Calibri Light"/>
          <w:sz w:val="24"/>
          <w:szCs w:val="24"/>
        </w:rPr>
        <w:t>dall’</w:t>
      </w:r>
      <w:r w:rsidRPr="00171C0E">
        <w:rPr>
          <w:rFonts w:ascii="Calibri Light" w:hAnsi="Calibri Light" w:cs="Calibri Light"/>
          <w:sz w:val="24"/>
          <w:szCs w:val="24"/>
        </w:rPr>
        <w:t xml:space="preserve">indagine congiunturale, realizzata a </w:t>
      </w:r>
      <w:r w:rsidR="006E59C5">
        <w:rPr>
          <w:rFonts w:ascii="Calibri Light" w:hAnsi="Calibri Light" w:cs="Calibri Light"/>
          <w:sz w:val="24"/>
          <w:szCs w:val="24"/>
        </w:rPr>
        <w:t>marzo</w:t>
      </w:r>
      <w:r w:rsidRPr="00171C0E">
        <w:rPr>
          <w:rFonts w:ascii="Calibri Light" w:hAnsi="Calibri Light" w:cs="Calibri Light"/>
          <w:sz w:val="24"/>
          <w:szCs w:val="24"/>
        </w:rPr>
        <w:t xml:space="preserve"> tra le aziende del sistema confindustriale piemontese</w:t>
      </w:r>
      <w:r>
        <w:rPr>
          <w:rFonts w:ascii="Calibri Light" w:hAnsi="Calibri Light" w:cs="Calibri Light"/>
          <w:sz w:val="24"/>
          <w:szCs w:val="24"/>
        </w:rPr>
        <w:t xml:space="preserve">, </w:t>
      </w:r>
      <w:r w:rsidRPr="00171C0E">
        <w:rPr>
          <w:rFonts w:ascii="Calibri Light" w:hAnsi="Calibri Light" w:cs="Calibri Light"/>
          <w:sz w:val="24"/>
          <w:szCs w:val="24"/>
        </w:rPr>
        <w:t>raccogliendo le valutazioni di oltre 1.200 realtà manifatturiere e dei servizi.</w:t>
      </w:r>
    </w:p>
    <w:p w14:paraId="6A19AD2B" w14:textId="77777777" w:rsidR="00171C0E" w:rsidRPr="00171C0E" w:rsidRDefault="00171C0E" w:rsidP="00171C0E">
      <w:pPr>
        <w:pStyle w:val="Nessunaspaziatura"/>
        <w:spacing w:after="240" w:line="276" w:lineRule="auto"/>
        <w:rPr>
          <w:rFonts w:ascii="Calibri Light" w:hAnsi="Calibri Light" w:cs="Calibri Light"/>
          <w:sz w:val="24"/>
          <w:szCs w:val="24"/>
        </w:rPr>
      </w:pPr>
      <w:r w:rsidRPr="00171C0E">
        <w:rPr>
          <w:rFonts w:ascii="Calibri Light" w:hAnsi="Calibri Light" w:cs="Calibri Light"/>
          <w:sz w:val="24"/>
          <w:szCs w:val="24"/>
        </w:rPr>
        <w:t xml:space="preserve">In linea con quanto emerge da analoghe indagini a livello nazionale, anche il dato complessivo piemontese è sintesi degli andamenti differenziati tra industria e terziario. A partire dalla ripresa dopo la crisi pandemica, il comparto dei sevizi ha registrato una crescita costante e positiva, con indicatori saldamente sopra lo zero per livelli di attività, occupazione e ordinativi. L’industria, per contro, sembra riemergere ora da un anno difficile, con indicatori altalenanti e un andamento tutt’altro che lineare. </w:t>
      </w:r>
    </w:p>
    <w:p w14:paraId="76153923" w14:textId="77777777" w:rsidR="00171C0E" w:rsidRPr="00171C0E" w:rsidRDefault="00171C0E" w:rsidP="00171C0E">
      <w:pPr>
        <w:pStyle w:val="Nessunaspaziatura"/>
        <w:spacing w:after="240" w:line="276" w:lineRule="auto"/>
        <w:rPr>
          <w:rFonts w:ascii="Calibri Light" w:hAnsi="Calibri Light" w:cs="Calibri Light"/>
          <w:sz w:val="24"/>
          <w:szCs w:val="24"/>
        </w:rPr>
      </w:pPr>
      <w:r w:rsidRPr="00171C0E">
        <w:rPr>
          <w:rFonts w:ascii="Calibri Light" w:hAnsi="Calibri Light" w:cs="Calibri Light"/>
          <w:sz w:val="24"/>
          <w:szCs w:val="24"/>
        </w:rPr>
        <w:t xml:space="preserve">Tuttavia, il saldo negativo delle esportazioni e la (troppo) lenta ripartenza degli investimenti denotano una certa prudenza delle nostre imprese, dovuta al protrarsi del clima di incertezza globale e al rischio di escalation sui teatri di guerra in Europa e Medio Oriente. Resta ampia la forbice dimensionale, con le imprese di minori dimensioni che hanno attese meno positive rispetto a quelle più grandi. </w:t>
      </w:r>
    </w:p>
    <w:p w14:paraId="273DF0D9" w14:textId="77777777" w:rsidR="00171C0E" w:rsidRPr="00171C0E" w:rsidRDefault="00171C0E" w:rsidP="00171C0E">
      <w:pPr>
        <w:pStyle w:val="Nessunaspaziatura"/>
        <w:spacing w:after="240" w:line="276" w:lineRule="auto"/>
        <w:rPr>
          <w:rFonts w:ascii="Calibri Light" w:hAnsi="Calibri Light" w:cs="Calibri Light"/>
          <w:sz w:val="24"/>
          <w:szCs w:val="24"/>
        </w:rPr>
      </w:pPr>
      <w:r w:rsidRPr="00171C0E">
        <w:rPr>
          <w:rFonts w:ascii="Calibri Light" w:hAnsi="Calibri Light" w:cs="Calibri Light"/>
          <w:sz w:val="24"/>
          <w:szCs w:val="24"/>
        </w:rPr>
        <w:t>Il ricorso agli ammortizzatori sociali è stabile su un livello storicamente basso, quasi nullo nel terziario; il tasso di utilizzo di impianti e risorse rimane elevato, sia nella manifattura sia nei servizi. Non aumentano né i tempi di pagamento né i ritardi negli incassi; varia poco il carnet ordini, mentre restano ottimistiche le attese sull’occupazione, anche nel manifatturiero.</w:t>
      </w:r>
    </w:p>
    <w:p w14:paraId="0E4D7580" w14:textId="77777777" w:rsidR="00171C0E" w:rsidRPr="00171C0E" w:rsidRDefault="00171C0E" w:rsidP="00171C0E">
      <w:pPr>
        <w:pStyle w:val="Nessunaspaziatura"/>
        <w:spacing w:after="240" w:line="276" w:lineRule="auto"/>
        <w:rPr>
          <w:rFonts w:ascii="Calibri Light" w:hAnsi="Calibri Light" w:cs="Calibri Light"/>
          <w:sz w:val="24"/>
          <w:szCs w:val="24"/>
        </w:rPr>
      </w:pPr>
      <w:r w:rsidRPr="00171C0E">
        <w:rPr>
          <w:rFonts w:ascii="Calibri Light" w:hAnsi="Calibri Light" w:cs="Calibri Light"/>
          <w:sz w:val="24"/>
          <w:szCs w:val="24"/>
        </w:rPr>
        <w:t xml:space="preserve">A livello settoriale, nell’industria si registrano andamenti differenziati. I saldi ottimisti – pessimisti sono sopra la media per chimica, alimentari, manifatture varie (gioielli, giocattoli ecc.), edilizia e impiantisti. Rallentano, invece, metalmeccanica (in particolare meccatronica e metallurgia), tessile e legno. </w:t>
      </w:r>
    </w:p>
    <w:p w14:paraId="4CA1599C" w14:textId="77777777" w:rsidR="00171C0E" w:rsidRPr="00171C0E" w:rsidRDefault="00171C0E" w:rsidP="00171C0E">
      <w:pPr>
        <w:pStyle w:val="Nessunaspaziatura"/>
        <w:spacing w:after="240" w:line="276" w:lineRule="auto"/>
        <w:rPr>
          <w:rFonts w:ascii="Calibri Light" w:hAnsi="Calibri Light" w:cs="Calibri Light"/>
          <w:sz w:val="24"/>
          <w:szCs w:val="24"/>
        </w:rPr>
      </w:pPr>
      <w:r w:rsidRPr="00171C0E">
        <w:rPr>
          <w:rFonts w:ascii="Calibri Light" w:hAnsi="Calibri Light" w:cs="Calibri Light"/>
          <w:sz w:val="24"/>
          <w:szCs w:val="24"/>
        </w:rPr>
        <w:t xml:space="preserve">Nel terziario, come già nelle scorse rilevazioni, tutti i comparti esprimono attese favorevoli e in crescita rispetto a dicembre; recupera anche il commercio che, dopo due trimestri di calo, torna a crescere. </w:t>
      </w:r>
    </w:p>
    <w:p w14:paraId="1A725124" w14:textId="77777777" w:rsidR="00171C0E" w:rsidRDefault="00171C0E" w:rsidP="00171C0E">
      <w:pPr>
        <w:pStyle w:val="Nessunaspaziatura"/>
        <w:spacing w:after="240" w:line="276" w:lineRule="auto"/>
        <w:rPr>
          <w:rFonts w:ascii="Calibri Light" w:hAnsi="Calibri Light" w:cs="Calibri Light"/>
          <w:sz w:val="24"/>
          <w:szCs w:val="24"/>
        </w:rPr>
      </w:pPr>
      <w:r w:rsidRPr="00171C0E">
        <w:rPr>
          <w:rFonts w:ascii="Calibri Light" w:hAnsi="Calibri Light" w:cs="Calibri Light"/>
          <w:sz w:val="24"/>
          <w:szCs w:val="24"/>
        </w:rPr>
        <w:t xml:space="preserve">Tradizionalmente, la rilevazione di marzo contiene alcune domande consuntive sull’andamento dell’anno appena concluso. Il 42% delle imprese nel 2023 ha registrato un aumento del fatturato, a fronte di un 25,4% che ne ha segnalato una diminuzione. Circa 7 aziende su 10 hanno chiuso l’anno </w:t>
      </w:r>
      <w:r w:rsidRPr="00171C0E">
        <w:rPr>
          <w:rFonts w:ascii="Calibri Light" w:hAnsi="Calibri Light" w:cs="Calibri Light"/>
          <w:sz w:val="24"/>
          <w:szCs w:val="24"/>
        </w:rPr>
        <w:lastRenderedPageBreak/>
        <w:t xml:space="preserve">in utile (72,4%) a fronte del 7,3% che ha chiuso il bilancio in perdita. Quasi la metà delle rispondenti (45,5%) ha mantenuto stabile il proprio livello di indebitamento, mentre una azienda su quattro lo ha diminuito e solo l’11,1% ne dichiara l’aumento. Infine, il 42,2% delle imprese del campione ha mantenuto invariati gli investimenti rispetto all’anno precedente, mentre il 25,9% li ha aumentati e il 17% ha dovuto ridurli. </w:t>
      </w:r>
    </w:p>
    <w:p w14:paraId="7C82CAE6" w14:textId="08C220D5" w:rsidR="00064159" w:rsidRPr="004B4130" w:rsidRDefault="00064159" w:rsidP="00171C0E">
      <w:pPr>
        <w:pStyle w:val="Nessunaspaziatura"/>
        <w:spacing w:after="240" w:line="276" w:lineRule="auto"/>
        <w:rPr>
          <w:rFonts w:ascii="Calibri Light" w:hAnsi="Calibri Light" w:cs="Calibri Light"/>
          <w:b/>
          <w:sz w:val="24"/>
          <w:szCs w:val="24"/>
          <w:u w:val="single"/>
        </w:rPr>
      </w:pPr>
      <w:r w:rsidRPr="001F23DB">
        <w:rPr>
          <w:rFonts w:ascii="Calibri Light" w:hAnsi="Calibri Light" w:cs="Calibri Light"/>
          <w:b/>
          <w:sz w:val="24"/>
          <w:szCs w:val="24"/>
          <w:u w:val="single"/>
        </w:rPr>
        <w:t>Comment</w:t>
      </w:r>
      <w:r w:rsidR="00A56E4B" w:rsidRPr="001F23DB">
        <w:rPr>
          <w:rFonts w:ascii="Calibri Light" w:hAnsi="Calibri Light" w:cs="Calibri Light"/>
          <w:b/>
          <w:sz w:val="24"/>
          <w:szCs w:val="24"/>
          <w:u w:val="single"/>
        </w:rPr>
        <w:t>o</w:t>
      </w:r>
      <w:r w:rsidRPr="001F23DB">
        <w:rPr>
          <w:rFonts w:ascii="Calibri Light" w:hAnsi="Calibri Light" w:cs="Calibri Light"/>
          <w:b/>
          <w:sz w:val="24"/>
          <w:szCs w:val="24"/>
          <w:u w:val="single"/>
        </w:rPr>
        <w:t xml:space="preserve"> sulle previsioni del primo trimestre 2024</w:t>
      </w:r>
    </w:p>
    <w:p w14:paraId="5BF5F180" w14:textId="6E13F61F" w:rsidR="004B4130" w:rsidRPr="00005C01" w:rsidRDefault="001F23DB" w:rsidP="00005C01">
      <w:pPr>
        <w:spacing w:after="240" w:line="300" w:lineRule="auto"/>
        <w:rPr>
          <w:rFonts w:ascii="Calibri Light" w:hAnsi="Calibri Light" w:cs="Calibri Light"/>
          <w:i/>
          <w:iCs/>
          <w:color w:val="auto"/>
          <w:sz w:val="24"/>
          <w:szCs w:val="24"/>
        </w:rPr>
      </w:pPr>
      <w:r w:rsidRPr="006E59C5">
        <w:rPr>
          <w:rFonts w:ascii="Calibri Light" w:hAnsi="Calibri Light" w:cs="Calibri Light"/>
          <w:color w:val="auto"/>
          <w:sz w:val="24"/>
          <w:szCs w:val="24"/>
        </w:rPr>
        <w:t>“</w:t>
      </w:r>
      <w:r w:rsidR="006E59C5" w:rsidRPr="006E59C5">
        <w:rPr>
          <w:rFonts w:ascii="Calibri Light" w:hAnsi="Calibri Light" w:cs="Calibri Light"/>
          <w:i/>
          <w:iCs/>
          <w:color w:val="auto"/>
          <w:sz w:val="24"/>
          <w:szCs w:val="24"/>
        </w:rPr>
        <w:t xml:space="preserve">Le imprese piemontesi si confermano in grado di gestire al meglio risorse umane e finanziarie, ordini nazionali e internazionali, investimenti e indebitamento. Le previsioni che presentiamo sono in linea con la ripartenza della produzione industriale in Germania registrata a febbraio, sono basi importanti che consentono alle nostre imprese di essere sempre più protagoniste delle transizioni in atto. Confindustria ha indicato alcune priorità nel suo programma ‘Fabbrica Europa’, noi come Confindustria Piemonte confermiamo quelle priorità e le integriamo con il nostro Piano Industriale che punta a un aumento della quota di export oggi pari a circa il 40% del Pil, ovvero 60 miliardi. Ciò è possibile con concreti interventi sulla formazione anche nell’ambito delle competenze digitali, al completamento del piano sulla Banda Ultra Larga e al consolidamento dei settori vincenti. Va poi alzato il livello della competitività delle filiere storiche come automotive, tessile, aerospazio, lusso, agri-eno-food, gioielleria, sistema casa. Dobbiamo infine saper cogliere fino in fondo le occasioni nelle life-science, medicina, biotech e salute e al contempo monitorare il completamento anni delle grandi infrastrutture, lavori che hanno un valore superiore a 25 miliardi nei prossimi 10 anni” </w:t>
      </w:r>
      <w:r w:rsidRPr="006E59C5">
        <w:rPr>
          <w:rFonts w:ascii="Calibri Light" w:hAnsi="Calibri Light" w:cs="Calibri Light"/>
          <w:color w:val="auto"/>
          <w:sz w:val="24"/>
          <w:szCs w:val="24"/>
        </w:rPr>
        <w:t xml:space="preserve">commenta </w:t>
      </w:r>
      <w:r w:rsidR="00064159" w:rsidRPr="006E59C5">
        <w:rPr>
          <w:rFonts w:ascii="Calibri Light" w:hAnsi="Calibri Light" w:cs="Calibri Light"/>
          <w:b/>
          <w:sz w:val="24"/>
          <w:szCs w:val="24"/>
        </w:rPr>
        <w:t>Marco Gay</w:t>
      </w:r>
      <w:r w:rsidR="00064159" w:rsidRPr="006E59C5">
        <w:rPr>
          <w:rFonts w:ascii="Calibri Light" w:hAnsi="Calibri Light" w:cs="Calibri Light"/>
          <w:sz w:val="24"/>
          <w:szCs w:val="24"/>
        </w:rPr>
        <w:t>, Presidente di Confindustria Piemonte</w:t>
      </w:r>
      <w:r w:rsidRPr="006E59C5">
        <w:rPr>
          <w:rFonts w:ascii="Calibri Light" w:hAnsi="Calibri Light" w:cs="Calibri Light"/>
          <w:sz w:val="24"/>
          <w:szCs w:val="24"/>
        </w:rPr>
        <w:t>.</w:t>
      </w:r>
      <w:r w:rsidRPr="001F23DB">
        <w:rPr>
          <w:rFonts w:ascii="Calibri Light" w:hAnsi="Calibri Light" w:cs="Calibri Light"/>
          <w:sz w:val="24"/>
          <w:szCs w:val="24"/>
        </w:rPr>
        <w:t xml:space="preserve"> </w:t>
      </w:r>
    </w:p>
    <w:p w14:paraId="2CCC8286" w14:textId="1615C367" w:rsidR="00064159" w:rsidRPr="004B4130" w:rsidRDefault="00064159" w:rsidP="004B4130">
      <w:pPr>
        <w:pStyle w:val="Nessunaspaziatura"/>
        <w:spacing w:after="240" w:line="276" w:lineRule="auto"/>
        <w:rPr>
          <w:rFonts w:ascii="Calibri Light" w:hAnsi="Calibri Light" w:cs="Calibri Light"/>
          <w:sz w:val="24"/>
          <w:szCs w:val="24"/>
        </w:rPr>
      </w:pPr>
      <w:r w:rsidRPr="001F23DB">
        <w:rPr>
          <w:rFonts w:ascii="Calibri Light" w:hAnsi="Calibri Light" w:cs="Calibri Light"/>
          <w:b/>
          <w:sz w:val="24"/>
          <w:szCs w:val="24"/>
          <w:u w:val="single"/>
        </w:rPr>
        <w:t>Dettaglio: i principali risultati dell’indagine piemontese</w:t>
      </w:r>
    </w:p>
    <w:p w14:paraId="6A3236DB" w14:textId="77777777" w:rsidR="00171C0E" w:rsidRPr="00171C0E" w:rsidRDefault="00171C0E" w:rsidP="00171C0E">
      <w:pPr>
        <w:pStyle w:val="Nessunaspaziatura"/>
        <w:spacing w:line="276" w:lineRule="auto"/>
        <w:rPr>
          <w:rFonts w:ascii="Calibri Light" w:hAnsi="Calibri Light" w:cs="Calibri Light"/>
          <w:sz w:val="24"/>
          <w:szCs w:val="24"/>
        </w:rPr>
      </w:pPr>
      <w:r w:rsidRPr="00171C0E">
        <w:rPr>
          <w:rFonts w:ascii="Calibri Light" w:hAnsi="Calibri Light" w:cs="Calibri Light"/>
          <w:sz w:val="24"/>
          <w:szCs w:val="24"/>
        </w:rPr>
        <w:t xml:space="preserve">Per il secondo trimestre del 2024, le attese sulla produzione delle 1.257 imprese piemontesi tornano positive, dopo la battuta di arresto di dicembre: il 21,9% delle aziende prevede un aumento dei livelli di attività, contro il 14,2% che si attende una diminuzione. Il saldo ottimisti-pessimisti è pari a +7,7% (era -1,5% a dicembre). Stesso trend per le attese sugli ordini, con un saldo del +5,6% in aumento di 8 punti percentuali rispetto alla scorsa rilevazione. </w:t>
      </w:r>
    </w:p>
    <w:p w14:paraId="236F6D84" w14:textId="77777777" w:rsidR="00171C0E" w:rsidRPr="00171C0E" w:rsidRDefault="00171C0E" w:rsidP="00171C0E">
      <w:pPr>
        <w:pStyle w:val="Nessunaspaziatura"/>
        <w:spacing w:line="276" w:lineRule="auto"/>
        <w:rPr>
          <w:rFonts w:ascii="Calibri Light" w:hAnsi="Calibri Light" w:cs="Calibri Light"/>
          <w:sz w:val="24"/>
          <w:szCs w:val="24"/>
        </w:rPr>
      </w:pPr>
      <w:r w:rsidRPr="00171C0E">
        <w:rPr>
          <w:rFonts w:ascii="Calibri Light" w:hAnsi="Calibri Light" w:cs="Calibri Light"/>
          <w:sz w:val="24"/>
          <w:szCs w:val="24"/>
        </w:rPr>
        <w:t>Positivo anche il dato sull’occupazione, con il 18,7% delle rispondenti che ne prevede un aumento, il 7,1% che ne prevede la riduzione e un saldo ottimisti-pessimisti pari a +11,6% (era 8,6% la scorsa rilevazione).</w:t>
      </w:r>
    </w:p>
    <w:p w14:paraId="04C92165" w14:textId="77777777" w:rsidR="00171C0E" w:rsidRPr="00171C0E" w:rsidRDefault="00171C0E" w:rsidP="00171C0E">
      <w:pPr>
        <w:pStyle w:val="Nessunaspaziatura"/>
        <w:spacing w:line="276" w:lineRule="auto"/>
        <w:rPr>
          <w:rFonts w:ascii="Calibri Light" w:hAnsi="Calibri Light" w:cs="Calibri Light"/>
          <w:sz w:val="24"/>
          <w:szCs w:val="24"/>
        </w:rPr>
      </w:pPr>
      <w:r w:rsidRPr="00171C0E">
        <w:rPr>
          <w:rFonts w:ascii="Calibri Light" w:hAnsi="Calibri Light" w:cs="Calibri Light"/>
          <w:sz w:val="24"/>
          <w:szCs w:val="24"/>
        </w:rPr>
        <w:t xml:space="preserve">Restano negative le aspettative sull’export, con un saldo ottimisti-pessimisti pari a -4,7%, probabilmente a causa dell’aumentata incertezza sui teatri di guerra in Europa e Medio Oriente. Resta buono il livello degli investimenti, che interessano oggi il 24,1% delle rispondenti (era il 22,4% a dicembre). Dopo il rialzo dell’ultima rilevazione, torna a calare il ricorso alla cassa integrazione, che interessa ora l’8,1% delle imprese. Stabile il tasso di utilizzo di impianti e risorse, tornato sui valori medi di lungo periodo (78%). Resta ampia la forbice tra le imprese medio-grandi (oltre 50 dipendenti), </w:t>
      </w:r>
      <w:r w:rsidRPr="00171C0E">
        <w:rPr>
          <w:rFonts w:ascii="Calibri Light" w:hAnsi="Calibri Light" w:cs="Calibri Light"/>
          <w:sz w:val="24"/>
          <w:szCs w:val="24"/>
        </w:rPr>
        <w:lastRenderedPageBreak/>
        <w:t>più ottimiste sui livelli produttivi (saldo +11,2%) e le più piccole (sotto i 50 addetti), che registrano un saldo leggermente inferiore (+6,4%).</w:t>
      </w:r>
    </w:p>
    <w:p w14:paraId="3312DB43" w14:textId="77777777" w:rsidR="00171C0E" w:rsidRPr="00171C0E" w:rsidRDefault="00171C0E" w:rsidP="00171C0E">
      <w:pPr>
        <w:pStyle w:val="Nessunaspaziatura"/>
        <w:spacing w:line="276" w:lineRule="auto"/>
        <w:rPr>
          <w:rFonts w:ascii="Calibri Light" w:hAnsi="Calibri Light" w:cs="Calibri Light"/>
          <w:sz w:val="24"/>
          <w:szCs w:val="24"/>
        </w:rPr>
      </w:pPr>
      <w:r w:rsidRPr="00171C0E">
        <w:rPr>
          <w:rFonts w:ascii="Calibri Light" w:hAnsi="Calibri Light" w:cs="Calibri Light"/>
          <w:sz w:val="24"/>
          <w:szCs w:val="24"/>
        </w:rPr>
        <w:t>A livello territoriale, si osservano attese positive per quasi tutte le province, superiori alla media per Canavese (+18,8%), Torino (+14,6%), Alessandria (+11,2%), Novara (+8,9%) e Cuneo (+8,2%). Più caute Verbania (+4,3%) e Vercelli (+2,3%). Restano negativi, invece, i saldi ottimisti-pessimisti di Biella (-14,0) e Asti (-2,9%).</w:t>
      </w:r>
    </w:p>
    <w:p w14:paraId="75725C53" w14:textId="77777777" w:rsidR="00171C0E" w:rsidRPr="00171C0E" w:rsidRDefault="00171C0E" w:rsidP="00171C0E">
      <w:pPr>
        <w:pStyle w:val="Nessunaspaziatura"/>
        <w:spacing w:line="276" w:lineRule="auto"/>
        <w:rPr>
          <w:rFonts w:ascii="Calibri Light" w:hAnsi="Calibri Light" w:cs="Calibri Light"/>
          <w:sz w:val="24"/>
          <w:szCs w:val="24"/>
        </w:rPr>
      </w:pPr>
      <w:r w:rsidRPr="00171C0E">
        <w:rPr>
          <w:rFonts w:ascii="Calibri Light" w:hAnsi="Calibri Light" w:cs="Calibri Light"/>
          <w:sz w:val="24"/>
          <w:szCs w:val="24"/>
        </w:rPr>
        <w:t>Nel manifatturiero, si registra un miglioramento delle attese, rispetto a dicembre, con saldi che passano da -10,1% a +1,6% per la produzione. Migliora, ma resta negativo il saldo sugli ordinativi che passa da -12,6% a -0,6%.</w:t>
      </w:r>
    </w:p>
    <w:p w14:paraId="3F4CC4D4" w14:textId="77777777" w:rsidR="00171C0E" w:rsidRPr="00171C0E" w:rsidRDefault="00171C0E" w:rsidP="00171C0E">
      <w:pPr>
        <w:pStyle w:val="Nessunaspaziatura"/>
        <w:spacing w:line="276" w:lineRule="auto"/>
        <w:rPr>
          <w:rFonts w:ascii="Calibri Light" w:hAnsi="Calibri Light" w:cs="Calibri Light"/>
          <w:sz w:val="24"/>
          <w:szCs w:val="24"/>
        </w:rPr>
      </w:pPr>
      <w:r w:rsidRPr="00171C0E">
        <w:rPr>
          <w:rFonts w:ascii="Calibri Light" w:hAnsi="Calibri Light" w:cs="Calibri Light"/>
          <w:sz w:val="24"/>
          <w:szCs w:val="24"/>
        </w:rPr>
        <w:t>Positive, per contro, le attese sull’occupazione, con saldo pari a +8,8%, da +2,6% di dicembre. Ancora segno meno per il saldo dell’export, che passa da -11,2% a -4,7%.</w:t>
      </w:r>
    </w:p>
    <w:p w14:paraId="7F27C969" w14:textId="77777777" w:rsidR="00171C0E" w:rsidRPr="00171C0E" w:rsidRDefault="00171C0E" w:rsidP="00171C0E">
      <w:pPr>
        <w:pStyle w:val="Nessunaspaziatura"/>
        <w:spacing w:line="276" w:lineRule="auto"/>
        <w:rPr>
          <w:rFonts w:ascii="Calibri Light" w:hAnsi="Calibri Light" w:cs="Calibri Light"/>
          <w:sz w:val="24"/>
          <w:szCs w:val="24"/>
        </w:rPr>
      </w:pPr>
      <w:r w:rsidRPr="00171C0E">
        <w:rPr>
          <w:rFonts w:ascii="Calibri Light" w:hAnsi="Calibri Light" w:cs="Calibri Light"/>
          <w:sz w:val="24"/>
          <w:szCs w:val="24"/>
        </w:rPr>
        <w:t>Inversione di tendenza per gli investimenti, che interessano il 24,6% delle aziende, in aumento rispetto al 22,9% di dicembre. Stabile il tasso di utilizzo delle risorse (75,4%), mentre torna a scendere il ricorso alla CIG, che riguarda oggi l’11,3% delle imprese.</w:t>
      </w:r>
    </w:p>
    <w:p w14:paraId="3466BD87" w14:textId="77777777" w:rsidR="00171C0E" w:rsidRPr="00171C0E" w:rsidRDefault="00171C0E" w:rsidP="00171C0E">
      <w:pPr>
        <w:pStyle w:val="Nessunaspaziatura"/>
        <w:spacing w:line="276" w:lineRule="auto"/>
        <w:rPr>
          <w:rFonts w:ascii="Calibri Light" w:hAnsi="Calibri Light" w:cs="Calibri Light"/>
          <w:sz w:val="24"/>
          <w:szCs w:val="24"/>
        </w:rPr>
      </w:pPr>
      <w:r w:rsidRPr="00171C0E">
        <w:rPr>
          <w:rFonts w:ascii="Calibri Light" w:hAnsi="Calibri Light" w:cs="Calibri Light"/>
          <w:sz w:val="24"/>
          <w:szCs w:val="24"/>
        </w:rPr>
        <w:t>A livello settoriale, il calo più consistente interessa tessile-abbigliamento (-19,1%), in crisi da 4 trimestri e legno, che registra un saldo pari a -11,8%. Segno negativo anche per la metalmeccanica (-2,1%), soprattutto metallurgia (-14,3%), meccatronica (-9,0%) e automotive (-4,4%).</w:t>
      </w:r>
    </w:p>
    <w:p w14:paraId="6481AB99" w14:textId="77777777" w:rsidR="00171C0E" w:rsidRPr="00171C0E" w:rsidRDefault="00171C0E" w:rsidP="00171C0E">
      <w:pPr>
        <w:pStyle w:val="Nessunaspaziatura"/>
        <w:spacing w:line="276" w:lineRule="auto"/>
        <w:rPr>
          <w:rFonts w:ascii="Calibri Light" w:hAnsi="Calibri Light" w:cs="Calibri Light"/>
          <w:sz w:val="24"/>
          <w:szCs w:val="24"/>
        </w:rPr>
      </w:pPr>
      <w:r w:rsidRPr="00171C0E">
        <w:rPr>
          <w:rFonts w:ascii="Calibri Light" w:hAnsi="Calibri Light" w:cs="Calibri Light"/>
          <w:sz w:val="24"/>
          <w:szCs w:val="24"/>
        </w:rPr>
        <w:t xml:space="preserve">Buona performance per chimica (+21,3%), gomma-plastica (+12,2%), alimentare (+9,5%), edilizia e impiantisti (entrambi +10,5%). </w:t>
      </w:r>
    </w:p>
    <w:p w14:paraId="5DA0F854" w14:textId="77777777" w:rsidR="00171C0E" w:rsidRPr="00171C0E" w:rsidRDefault="00171C0E" w:rsidP="00171C0E">
      <w:pPr>
        <w:pStyle w:val="Nessunaspaziatura"/>
        <w:spacing w:line="276" w:lineRule="auto"/>
        <w:rPr>
          <w:rFonts w:ascii="Calibri Light" w:hAnsi="Calibri Light" w:cs="Calibri Light"/>
          <w:sz w:val="24"/>
          <w:szCs w:val="24"/>
        </w:rPr>
      </w:pPr>
      <w:r w:rsidRPr="00171C0E">
        <w:rPr>
          <w:rFonts w:ascii="Calibri Light" w:hAnsi="Calibri Light" w:cs="Calibri Light"/>
          <w:sz w:val="24"/>
          <w:szCs w:val="24"/>
        </w:rPr>
        <w:t xml:space="preserve">Nei servizi il clima di fiducia resta stabilmente positivo rispetto a dicembre. Il saldo relativo ai livelli di attività è pari a +21,0% (era 18,3% la scorsa rilevazione), quello relativo agli ordinativi è pari a +19,2% (da +21,2%), quello sull’occupazione è pari +17,7% (era 22,3%). Gli investimenti tornano a crescere leggermente (22,9%), trascurabile il ricorso alla CIG (1,3%), stabilmente alto il tasso di utilizzo delle risorse (84%). </w:t>
      </w:r>
    </w:p>
    <w:p w14:paraId="0646A370" w14:textId="03639000" w:rsidR="00064159" w:rsidRDefault="00171C0E" w:rsidP="00171C0E">
      <w:pPr>
        <w:pStyle w:val="Nessunaspaziatura"/>
        <w:spacing w:line="276" w:lineRule="auto"/>
        <w:rPr>
          <w:rFonts w:ascii="Calibri Light" w:hAnsi="Calibri Light" w:cs="Calibri Light"/>
          <w:sz w:val="24"/>
          <w:szCs w:val="24"/>
        </w:rPr>
      </w:pPr>
      <w:r w:rsidRPr="00171C0E">
        <w:rPr>
          <w:rFonts w:ascii="Calibri Light" w:hAnsi="Calibri Light" w:cs="Calibri Light"/>
          <w:sz w:val="24"/>
          <w:szCs w:val="24"/>
        </w:rPr>
        <w:t>A livello settoriale, le attese delle aziende del terziario sono positive in tutti i comparti, con saldi pari a +29,0% per i servizi alle imprese, +25,0% per le utility, +22,0% per l’ICT, +21,6% per gli altri servizi, +12,5% per i trasporti. Recupera anche il commercio e turismo, che totalizza un saldo di +9,5%, dopo due trimestri di calo.</w:t>
      </w:r>
    </w:p>
    <w:p w14:paraId="6D98FC2B" w14:textId="77777777" w:rsidR="00171C0E" w:rsidRPr="001F23DB" w:rsidRDefault="00171C0E" w:rsidP="00171C0E">
      <w:pPr>
        <w:pStyle w:val="Nessunaspaziatura"/>
        <w:spacing w:line="276" w:lineRule="auto"/>
        <w:rPr>
          <w:rFonts w:ascii="Calibri Light" w:hAnsi="Calibri Light" w:cs="Calibri Light"/>
          <w:sz w:val="24"/>
          <w:szCs w:val="24"/>
          <w:highlight w:val="yellow"/>
        </w:rPr>
      </w:pPr>
    </w:p>
    <w:p w14:paraId="5EF8C658" w14:textId="17980B97" w:rsidR="00064159" w:rsidRPr="001F23DB" w:rsidRDefault="00171C0E" w:rsidP="001F23DB">
      <w:pPr>
        <w:pStyle w:val="Nessunaspaziatura"/>
        <w:spacing w:line="276" w:lineRule="auto"/>
        <w:rPr>
          <w:rFonts w:ascii="Calibri Light" w:hAnsi="Calibri Light" w:cs="Calibri Light"/>
          <w:sz w:val="24"/>
          <w:szCs w:val="24"/>
          <w:highlight w:val="yellow"/>
        </w:rPr>
      </w:pPr>
      <w:r>
        <w:rPr>
          <w:rFonts w:ascii="Calibri Light" w:hAnsi="Calibri Light" w:cs="Calibri Light"/>
          <w:noProof/>
          <w:sz w:val="24"/>
          <w:szCs w:val="24"/>
          <w:highlight w:val="yellow"/>
        </w:rPr>
        <w:lastRenderedPageBreak/>
        <w:drawing>
          <wp:inline distT="0" distB="0" distL="0" distR="0" wp14:anchorId="2D63F1A9" wp14:editId="4476AB57">
            <wp:extent cx="4456430" cy="2707005"/>
            <wp:effectExtent l="0" t="0" r="1270" b="0"/>
            <wp:docPr id="1427109143"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6430" cy="2707005"/>
                    </a:xfrm>
                    <a:prstGeom prst="rect">
                      <a:avLst/>
                    </a:prstGeom>
                    <a:noFill/>
                  </pic:spPr>
                </pic:pic>
              </a:graphicData>
            </a:graphic>
          </wp:inline>
        </w:drawing>
      </w:r>
    </w:p>
    <w:p w14:paraId="08DE02D3" w14:textId="77777777" w:rsidR="00A00C81" w:rsidRPr="001F23DB" w:rsidRDefault="00A00C81" w:rsidP="001F23DB">
      <w:pPr>
        <w:pStyle w:val="Nessunaspaziatura"/>
        <w:spacing w:line="276" w:lineRule="auto"/>
        <w:rPr>
          <w:rFonts w:ascii="Calibri Light" w:hAnsi="Calibri Light" w:cs="Calibri Light"/>
          <w:sz w:val="24"/>
          <w:szCs w:val="24"/>
        </w:rPr>
      </w:pPr>
    </w:p>
    <w:sectPr w:rsidR="00A00C81" w:rsidRPr="001F23DB" w:rsidSect="00C11A62">
      <w:headerReference w:type="default" r:id="rId9"/>
      <w:footerReference w:type="default" r:id="rId10"/>
      <w:pgSz w:w="11900" w:h="16840"/>
      <w:pgMar w:top="2268" w:right="1134" w:bottom="1134" w:left="1134" w:header="708" w:footer="5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AB71A1" w14:textId="77777777" w:rsidR="004F0D6F" w:rsidRDefault="004F0D6F">
      <w:r>
        <w:separator/>
      </w:r>
    </w:p>
  </w:endnote>
  <w:endnote w:type="continuationSeparator" w:id="0">
    <w:p w14:paraId="4FEBD952" w14:textId="77777777" w:rsidR="004F0D6F" w:rsidRDefault="004F0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9378312"/>
      <w:docPartObj>
        <w:docPartGallery w:val="Page Numbers (Bottom of Page)"/>
        <w:docPartUnique/>
      </w:docPartObj>
    </w:sdtPr>
    <w:sdtEndPr/>
    <w:sdtContent>
      <w:p w14:paraId="147E6316" w14:textId="486D5698" w:rsidR="008015C5" w:rsidRDefault="006E59C5">
        <w:pPr>
          <w:pStyle w:val="Pidipagina"/>
          <w:jc w:val="center"/>
        </w:pPr>
      </w:p>
    </w:sdtContent>
  </w:sdt>
  <w:p w14:paraId="4FAC0408" w14:textId="77777777" w:rsidR="00511E24" w:rsidRDefault="00511E24">
    <w:pPr>
      <w:pStyle w:val="Intestazionee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C7FC1C" w14:textId="77777777" w:rsidR="004F0D6F" w:rsidRDefault="004F0D6F">
      <w:r>
        <w:separator/>
      </w:r>
    </w:p>
  </w:footnote>
  <w:footnote w:type="continuationSeparator" w:id="0">
    <w:p w14:paraId="101B3630" w14:textId="77777777" w:rsidR="004F0D6F" w:rsidRDefault="004F0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7BD86" w14:textId="3350F71D" w:rsidR="001F23DB" w:rsidRDefault="001F23DB" w:rsidP="001F23DB">
    <w:pPr>
      <w:pStyle w:val="Intestazione"/>
      <w:jc w:val="center"/>
    </w:pPr>
    <w:r>
      <w:rPr>
        <w:noProof/>
      </w:rPr>
      <w:drawing>
        <wp:inline distT="0" distB="0" distL="0" distR="0" wp14:anchorId="4424D566" wp14:editId="73F2931D">
          <wp:extent cx="2305050" cy="798962"/>
          <wp:effectExtent l="0" t="0" r="0" b="1270"/>
          <wp:docPr id="671281680" name="Immagine 671281680" descr="Immagine che contiene Carattere, logo, testo, bianc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547192" name="Immagine 1" descr="Immagine che contiene Carattere, logo, testo, bianc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328639" cy="80713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67530C"/>
    <w:multiLevelType w:val="hybridMultilevel"/>
    <w:tmpl w:val="547A61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63324D95"/>
    <w:multiLevelType w:val="hybridMultilevel"/>
    <w:tmpl w:val="5F14DAF4"/>
    <w:lvl w:ilvl="0" w:tplc="9EF4941C">
      <w:numFmt w:val="bullet"/>
      <w:lvlText w:val=""/>
      <w:lvlJc w:val="left"/>
      <w:pPr>
        <w:ind w:left="720" w:hanging="360"/>
      </w:pPr>
      <w:rPr>
        <w:rFonts w:ascii="Symbol" w:eastAsia="Arial Unicode MS" w:hAnsi="Symbol" w:cs="Arial Unicode M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6533D65"/>
    <w:multiLevelType w:val="hybridMultilevel"/>
    <w:tmpl w:val="2232504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1E23D98"/>
    <w:multiLevelType w:val="hybridMultilevel"/>
    <w:tmpl w:val="04A8F596"/>
    <w:lvl w:ilvl="0" w:tplc="5B2861E4">
      <w:numFmt w:val="bullet"/>
      <w:lvlText w:val=""/>
      <w:lvlJc w:val="left"/>
      <w:pPr>
        <w:ind w:left="720" w:hanging="360"/>
      </w:pPr>
      <w:rPr>
        <w:rFonts w:ascii="Symbol" w:eastAsia="Arial Unicode MS" w:hAnsi="Symbol" w:cs="Arial Unicode M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011761449">
    <w:abstractNumId w:val="1"/>
  </w:num>
  <w:num w:numId="2" w16cid:durableId="1097025100">
    <w:abstractNumId w:val="3"/>
  </w:num>
  <w:num w:numId="3" w16cid:durableId="3672929">
    <w:abstractNumId w:val="2"/>
  </w:num>
  <w:num w:numId="4" w16cid:durableId="1449354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ocumentProtection w:edit="trackedChanges" w:enforcement="0"/>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E24"/>
    <w:rsid w:val="00005C01"/>
    <w:rsid w:val="00007731"/>
    <w:rsid w:val="0001156B"/>
    <w:rsid w:val="0002701E"/>
    <w:rsid w:val="00030477"/>
    <w:rsid w:val="00042110"/>
    <w:rsid w:val="000541BD"/>
    <w:rsid w:val="00064159"/>
    <w:rsid w:val="00072A89"/>
    <w:rsid w:val="000924DC"/>
    <w:rsid w:val="0009348B"/>
    <w:rsid w:val="00096B3B"/>
    <w:rsid w:val="0009746F"/>
    <w:rsid w:val="000B6218"/>
    <w:rsid w:val="000C66AD"/>
    <w:rsid w:val="000D393C"/>
    <w:rsid w:val="000D731A"/>
    <w:rsid w:val="000E0BBF"/>
    <w:rsid w:val="000E2C76"/>
    <w:rsid w:val="000E373E"/>
    <w:rsid w:val="00104DE3"/>
    <w:rsid w:val="00105085"/>
    <w:rsid w:val="001055C4"/>
    <w:rsid w:val="0012487D"/>
    <w:rsid w:val="00137C59"/>
    <w:rsid w:val="001603C8"/>
    <w:rsid w:val="00171C0E"/>
    <w:rsid w:val="00180297"/>
    <w:rsid w:val="00180506"/>
    <w:rsid w:val="00191157"/>
    <w:rsid w:val="001913F2"/>
    <w:rsid w:val="00193F80"/>
    <w:rsid w:val="001A42DA"/>
    <w:rsid w:val="001A796C"/>
    <w:rsid w:val="001B069C"/>
    <w:rsid w:val="001B4F5A"/>
    <w:rsid w:val="001C25FD"/>
    <w:rsid w:val="001D01E5"/>
    <w:rsid w:val="001E251F"/>
    <w:rsid w:val="001E5206"/>
    <w:rsid w:val="001E53BA"/>
    <w:rsid w:val="001F23DB"/>
    <w:rsid w:val="00203B67"/>
    <w:rsid w:val="00204861"/>
    <w:rsid w:val="002154CB"/>
    <w:rsid w:val="00216D6F"/>
    <w:rsid w:val="00231A43"/>
    <w:rsid w:val="00232FA2"/>
    <w:rsid w:val="00233481"/>
    <w:rsid w:val="00240E53"/>
    <w:rsid w:val="00255127"/>
    <w:rsid w:val="00260A91"/>
    <w:rsid w:val="00260BFF"/>
    <w:rsid w:val="002861A3"/>
    <w:rsid w:val="0029055F"/>
    <w:rsid w:val="002A45E5"/>
    <w:rsid w:val="002A4EAC"/>
    <w:rsid w:val="002B14E7"/>
    <w:rsid w:val="002B7493"/>
    <w:rsid w:val="002C46A1"/>
    <w:rsid w:val="002C7EA5"/>
    <w:rsid w:val="002D4A99"/>
    <w:rsid w:val="002E50F2"/>
    <w:rsid w:val="002E76EE"/>
    <w:rsid w:val="002F42FB"/>
    <w:rsid w:val="00305626"/>
    <w:rsid w:val="00312020"/>
    <w:rsid w:val="003201D0"/>
    <w:rsid w:val="00322315"/>
    <w:rsid w:val="0032288B"/>
    <w:rsid w:val="00334E4B"/>
    <w:rsid w:val="00343686"/>
    <w:rsid w:val="0035187C"/>
    <w:rsid w:val="00351F3F"/>
    <w:rsid w:val="00366885"/>
    <w:rsid w:val="00373630"/>
    <w:rsid w:val="003752BA"/>
    <w:rsid w:val="00380F72"/>
    <w:rsid w:val="00381D83"/>
    <w:rsid w:val="003A20AC"/>
    <w:rsid w:val="003C1F47"/>
    <w:rsid w:val="003C393A"/>
    <w:rsid w:val="003C48CC"/>
    <w:rsid w:val="003D4BB0"/>
    <w:rsid w:val="003F1580"/>
    <w:rsid w:val="003F439B"/>
    <w:rsid w:val="00400227"/>
    <w:rsid w:val="00400DA4"/>
    <w:rsid w:val="00426967"/>
    <w:rsid w:val="004315DE"/>
    <w:rsid w:val="00431B14"/>
    <w:rsid w:val="00436645"/>
    <w:rsid w:val="00442F17"/>
    <w:rsid w:val="00446C8A"/>
    <w:rsid w:val="00451D12"/>
    <w:rsid w:val="00455758"/>
    <w:rsid w:val="00456955"/>
    <w:rsid w:val="00466117"/>
    <w:rsid w:val="00471B45"/>
    <w:rsid w:val="004879BF"/>
    <w:rsid w:val="0049567E"/>
    <w:rsid w:val="00497849"/>
    <w:rsid w:val="004A4CFB"/>
    <w:rsid w:val="004A75F6"/>
    <w:rsid w:val="004B4130"/>
    <w:rsid w:val="004C05C5"/>
    <w:rsid w:val="004C5025"/>
    <w:rsid w:val="004E45D2"/>
    <w:rsid w:val="004E5FEA"/>
    <w:rsid w:val="004F0D6F"/>
    <w:rsid w:val="00505FDE"/>
    <w:rsid w:val="0050637D"/>
    <w:rsid w:val="00511E24"/>
    <w:rsid w:val="00542D6D"/>
    <w:rsid w:val="0056640E"/>
    <w:rsid w:val="005733A5"/>
    <w:rsid w:val="005775C3"/>
    <w:rsid w:val="00580126"/>
    <w:rsid w:val="005815AF"/>
    <w:rsid w:val="00581655"/>
    <w:rsid w:val="005820D9"/>
    <w:rsid w:val="00586203"/>
    <w:rsid w:val="00597138"/>
    <w:rsid w:val="005B0F05"/>
    <w:rsid w:val="005B1307"/>
    <w:rsid w:val="005B76FF"/>
    <w:rsid w:val="005D2574"/>
    <w:rsid w:val="005D4C2D"/>
    <w:rsid w:val="005E7B7D"/>
    <w:rsid w:val="0061533B"/>
    <w:rsid w:val="006178D8"/>
    <w:rsid w:val="006200BF"/>
    <w:rsid w:val="0063100D"/>
    <w:rsid w:val="00634694"/>
    <w:rsid w:val="00660944"/>
    <w:rsid w:val="006669D3"/>
    <w:rsid w:val="006801A1"/>
    <w:rsid w:val="006802D1"/>
    <w:rsid w:val="00683C0A"/>
    <w:rsid w:val="0068797F"/>
    <w:rsid w:val="006C3605"/>
    <w:rsid w:val="006D6AE0"/>
    <w:rsid w:val="006E59C5"/>
    <w:rsid w:val="00700D51"/>
    <w:rsid w:val="007056AD"/>
    <w:rsid w:val="007178FA"/>
    <w:rsid w:val="007225CD"/>
    <w:rsid w:val="0073302F"/>
    <w:rsid w:val="00746089"/>
    <w:rsid w:val="00751774"/>
    <w:rsid w:val="00751C45"/>
    <w:rsid w:val="0078640F"/>
    <w:rsid w:val="00792A0D"/>
    <w:rsid w:val="0079345B"/>
    <w:rsid w:val="007960C2"/>
    <w:rsid w:val="007A13B9"/>
    <w:rsid w:val="007A326B"/>
    <w:rsid w:val="007A5D96"/>
    <w:rsid w:val="007B2624"/>
    <w:rsid w:val="007F02E2"/>
    <w:rsid w:val="008015C5"/>
    <w:rsid w:val="0080221C"/>
    <w:rsid w:val="00802915"/>
    <w:rsid w:val="0080515E"/>
    <w:rsid w:val="008126B2"/>
    <w:rsid w:val="00827ACC"/>
    <w:rsid w:val="00830423"/>
    <w:rsid w:val="0083154B"/>
    <w:rsid w:val="00864A06"/>
    <w:rsid w:val="008734B3"/>
    <w:rsid w:val="0088320E"/>
    <w:rsid w:val="008930DE"/>
    <w:rsid w:val="008931C7"/>
    <w:rsid w:val="008A4877"/>
    <w:rsid w:val="008C36A2"/>
    <w:rsid w:val="008C5E37"/>
    <w:rsid w:val="008C7A44"/>
    <w:rsid w:val="008D2D1D"/>
    <w:rsid w:val="008E062D"/>
    <w:rsid w:val="008E0CAE"/>
    <w:rsid w:val="008E5218"/>
    <w:rsid w:val="008E6B66"/>
    <w:rsid w:val="008E7A5C"/>
    <w:rsid w:val="008F0CDE"/>
    <w:rsid w:val="00901CEC"/>
    <w:rsid w:val="00906237"/>
    <w:rsid w:val="009132D4"/>
    <w:rsid w:val="009405AF"/>
    <w:rsid w:val="00943003"/>
    <w:rsid w:val="00950392"/>
    <w:rsid w:val="0095762B"/>
    <w:rsid w:val="009577E2"/>
    <w:rsid w:val="00967126"/>
    <w:rsid w:val="0097768E"/>
    <w:rsid w:val="009A0CA9"/>
    <w:rsid w:val="009A2A1E"/>
    <w:rsid w:val="009A4F57"/>
    <w:rsid w:val="009A7739"/>
    <w:rsid w:val="009C0B4A"/>
    <w:rsid w:val="009D4B78"/>
    <w:rsid w:val="009D7A66"/>
    <w:rsid w:val="009D7F4F"/>
    <w:rsid w:val="009E0195"/>
    <w:rsid w:val="009E2397"/>
    <w:rsid w:val="009F59A0"/>
    <w:rsid w:val="00A00C81"/>
    <w:rsid w:val="00A049BE"/>
    <w:rsid w:val="00A16103"/>
    <w:rsid w:val="00A41AEA"/>
    <w:rsid w:val="00A4561F"/>
    <w:rsid w:val="00A4605F"/>
    <w:rsid w:val="00A53395"/>
    <w:rsid w:val="00A56E4B"/>
    <w:rsid w:val="00A64AA5"/>
    <w:rsid w:val="00A71F00"/>
    <w:rsid w:val="00A819D6"/>
    <w:rsid w:val="00A853C7"/>
    <w:rsid w:val="00A865F6"/>
    <w:rsid w:val="00A9367C"/>
    <w:rsid w:val="00A96B45"/>
    <w:rsid w:val="00AA1831"/>
    <w:rsid w:val="00AA2B80"/>
    <w:rsid w:val="00AA3497"/>
    <w:rsid w:val="00AA44B4"/>
    <w:rsid w:val="00AA52D9"/>
    <w:rsid w:val="00AA6D2B"/>
    <w:rsid w:val="00AA7B69"/>
    <w:rsid w:val="00AA7FA1"/>
    <w:rsid w:val="00AC09E7"/>
    <w:rsid w:val="00AD6807"/>
    <w:rsid w:val="00AE541C"/>
    <w:rsid w:val="00AE5C0C"/>
    <w:rsid w:val="00AF31B9"/>
    <w:rsid w:val="00AF50E1"/>
    <w:rsid w:val="00AF61F7"/>
    <w:rsid w:val="00AF7A3E"/>
    <w:rsid w:val="00B0759C"/>
    <w:rsid w:val="00B10E4C"/>
    <w:rsid w:val="00B14545"/>
    <w:rsid w:val="00B238CB"/>
    <w:rsid w:val="00B30C8E"/>
    <w:rsid w:val="00B53A77"/>
    <w:rsid w:val="00B6316A"/>
    <w:rsid w:val="00B72F11"/>
    <w:rsid w:val="00B735AA"/>
    <w:rsid w:val="00B81EE9"/>
    <w:rsid w:val="00B9112C"/>
    <w:rsid w:val="00B92484"/>
    <w:rsid w:val="00B946D0"/>
    <w:rsid w:val="00BC7DD6"/>
    <w:rsid w:val="00BD2286"/>
    <w:rsid w:val="00BD5E67"/>
    <w:rsid w:val="00BD7115"/>
    <w:rsid w:val="00BF4839"/>
    <w:rsid w:val="00C00EC0"/>
    <w:rsid w:val="00C07860"/>
    <w:rsid w:val="00C11A62"/>
    <w:rsid w:val="00C21CA0"/>
    <w:rsid w:val="00C26D63"/>
    <w:rsid w:val="00C32FC8"/>
    <w:rsid w:val="00C40475"/>
    <w:rsid w:val="00C42FCB"/>
    <w:rsid w:val="00C46BB1"/>
    <w:rsid w:val="00C547F7"/>
    <w:rsid w:val="00C5525C"/>
    <w:rsid w:val="00C71A42"/>
    <w:rsid w:val="00C85892"/>
    <w:rsid w:val="00CA3366"/>
    <w:rsid w:val="00CC1DA0"/>
    <w:rsid w:val="00CC57A9"/>
    <w:rsid w:val="00CE4467"/>
    <w:rsid w:val="00CF5240"/>
    <w:rsid w:val="00D01AC8"/>
    <w:rsid w:val="00D02012"/>
    <w:rsid w:val="00D044E1"/>
    <w:rsid w:val="00D1330C"/>
    <w:rsid w:val="00D17C23"/>
    <w:rsid w:val="00D3084D"/>
    <w:rsid w:val="00D35F1F"/>
    <w:rsid w:val="00D52B46"/>
    <w:rsid w:val="00D73D74"/>
    <w:rsid w:val="00D74D97"/>
    <w:rsid w:val="00D80287"/>
    <w:rsid w:val="00D81F65"/>
    <w:rsid w:val="00D91238"/>
    <w:rsid w:val="00D92CD5"/>
    <w:rsid w:val="00DA0ACE"/>
    <w:rsid w:val="00DA0E80"/>
    <w:rsid w:val="00DA5377"/>
    <w:rsid w:val="00DB5C2B"/>
    <w:rsid w:val="00DC1743"/>
    <w:rsid w:val="00DC2C5B"/>
    <w:rsid w:val="00DC3DDA"/>
    <w:rsid w:val="00DD045E"/>
    <w:rsid w:val="00DD79EA"/>
    <w:rsid w:val="00DE2D92"/>
    <w:rsid w:val="00DF2FAD"/>
    <w:rsid w:val="00E04CD7"/>
    <w:rsid w:val="00E257B9"/>
    <w:rsid w:val="00E424ED"/>
    <w:rsid w:val="00E46444"/>
    <w:rsid w:val="00E56A57"/>
    <w:rsid w:val="00E61ED4"/>
    <w:rsid w:val="00E7671C"/>
    <w:rsid w:val="00E83615"/>
    <w:rsid w:val="00E83743"/>
    <w:rsid w:val="00E92759"/>
    <w:rsid w:val="00E97C87"/>
    <w:rsid w:val="00EA3256"/>
    <w:rsid w:val="00EA76DF"/>
    <w:rsid w:val="00EC72CA"/>
    <w:rsid w:val="00ED11AE"/>
    <w:rsid w:val="00ED2372"/>
    <w:rsid w:val="00ED7F22"/>
    <w:rsid w:val="00EE15EC"/>
    <w:rsid w:val="00F12528"/>
    <w:rsid w:val="00F13D5E"/>
    <w:rsid w:val="00F1547E"/>
    <w:rsid w:val="00F26497"/>
    <w:rsid w:val="00F364E0"/>
    <w:rsid w:val="00F4428D"/>
    <w:rsid w:val="00F53105"/>
    <w:rsid w:val="00F63AD8"/>
    <w:rsid w:val="00F63D78"/>
    <w:rsid w:val="00F64891"/>
    <w:rsid w:val="00F66176"/>
    <w:rsid w:val="00F70FE8"/>
    <w:rsid w:val="00F7126F"/>
    <w:rsid w:val="00F845F5"/>
    <w:rsid w:val="00F869A3"/>
    <w:rsid w:val="00F9169C"/>
    <w:rsid w:val="00F93005"/>
    <w:rsid w:val="00FA0910"/>
    <w:rsid w:val="00FA4341"/>
    <w:rsid w:val="00FB5C3B"/>
    <w:rsid w:val="00FC3906"/>
    <w:rsid w:val="00FC6795"/>
    <w:rsid w:val="00FD2E4E"/>
    <w:rsid w:val="00FE7FF8"/>
    <w:rsid w:val="00FF08A6"/>
    <w:rsid w:val="00FF20D7"/>
    <w:rsid w:val="00FF5E78"/>
    <w:rsid w:val="00FF76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B1474"/>
  <w15:docId w15:val="{EB387891-2BA9-4DFC-A0C5-939D07D70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pPr>
      <w:jc w:val="both"/>
    </w:pPr>
    <w:rPr>
      <w:rFonts w:cs="Arial Unicode MS"/>
      <w:color w:val="000000"/>
      <w:sz w:val="28"/>
      <w:szCs w:val="28"/>
      <w:u w:color="000000"/>
    </w:rPr>
  </w:style>
  <w:style w:type="paragraph" w:styleId="Titolo1">
    <w:name w:val="heading 1"/>
    <w:basedOn w:val="Normale"/>
    <w:next w:val="Normale"/>
    <w:link w:val="Titolo1Carattere"/>
    <w:uiPriority w:val="9"/>
    <w:qFormat/>
    <w:rsid w:val="00B81EE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Intestazioneepidipagina">
    <w:name w:val="Intestazione e piè di pagina"/>
    <w:pPr>
      <w:tabs>
        <w:tab w:val="right" w:pos="9020"/>
      </w:tabs>
    </w:pPr>
    <w:rPr>
      <w:rFonts w:ascii="Helvetica" w:hAnsi="Helvetica" w:cs="Arial Unicode MS"/>
      <w:color w:val="000000"/>
      <w:sz w:val="24"/>
      <w:szCs w:val="24"/>
    </w:rPr>
  </w:style>
  <w:style w:type="paragraph" w:styleId="Intestazione">
    <w:name w:val="header"/>
    <w:basedOn w:val="Normale"/>
    <w:link w:val="IntestazioneCarattere"/>
    <w:uiPriority w:val="99"/>
    <w:unhideWhenUsed/>
    <w:rsid w:val="008015C5"/>
    <w:pPr>
      <w:tabs>
        <w:tab w:val="center" w:pos="4819"/>
        <w:tab w:val="right" w:pos="9638"/>
      </w:tabs>
    </w:pPr>
  </w:style>
  <w:style w:type="character" w:customStyle="1" w:styleId="IntestazioneCarattere">
    <w:name w:val="Intestazione Carattere"/>
    <w:basedOn w:val="Carpredefinitoparagrafo"/>
    <w:link w:val="Intestazione"/>
    <w:uiPriority w:val="99"/>
    <w:rsid w:val="008015C5"/>
    <w:rPr>
      <w:rFonts w:cs="Arial Unicode MS"/>
      <w:color w:val="000000"/>
      <w:sz w:val="28"/>
      <w:szCs w:val="28"/>
      <w:u w:color="000000"/>
    </w:rPr>
  </w:style>
  <w:style w:type="paragraph" w:styleId="Pidipagina">
    <w:name w:val="footer"/>
    <w:basedOn w:val="Normale"/>
    <w:link w:val="PidipaginaCarattere"/>
    <w:uiPriority w:val="99"/>
    <w:unhideWhenUsed/>
    <w:rsid w:val="008015C5"/>
    <w:pPr>
      <w:tabs>
        <w:tab w:val="center" w:pos="4819"/>
        <w:tab w:val="right" w:pos="9638"/>
      </w:tabs>
    </w:pPr>
  </w:style>
  <w:style w:type="character" w:customStyle="1" w:styleId="PidipaginaCarattere">
    <w:name w:val="Piè di pagina Carattere"/>
    <w:basedOn w:val="Carpredefinitoparagrafo"/>
    <w:link w:val="Pidipagina"/>
    <w:uiPriority w:val="99"/>
    <w:rsid w:val="008015C5"/>
    <w:rPr>
      <w:rFonts w:cs="Arial Unicode MS"/>
      <w:color w:val="000000"/>
      <w:sz w:val="28"/>
      <w:szCs w:val="28"/>
      <w:u w:color="000000"/>
    </w:rPr>
  </w:style>
  <w:style w:type="paragraph" w:styleId="Testofumetto">
    <w:name w:val="Balloon Text"/>
    <w:basedOn w:val="Normale"/>
    <w:link w:val="TestofumettoCarattere"/>
    <w:uiPriority w:val="99"/>
    <w:semiHidden/>
    <w:unhideWhenUsed/>
    <w:rsid w:val="002C7EA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C7EA5"/>
    <w:rPr>
      <w:rFonts w:ascii="Segoe UI" w:hAnsi="Segoe UI" w:cs="Segoe UI"/>
      <w:color w:val="000000"/>
      <w:sz w:val="18"/>
      <w:szCs w:val="18"/>
      <w:u w:color="000000"/>
    </w:rPr>
  </w:style>
  <w:style w:type="paragraph" w:styleId="Paragrafoelenco">
    <w:name w:val="List Paragraph"/>
    <w:basedOn w:val="Normale"/>
    <w:uiPriority w:val="34"/>
    <w:qFormat/>
    <w:rsid w:val="00E61ED4"/>
    <w:pPr>
      <w:ind w:left="720"/>
      <w:contextualSpacing/>
    </w:pPr>
  </w:style>
  <w:style w:type="paragraph" w:styleId="Revisione">
    <w:name w:val="Revision"/>
    <w:hidden/>
    <w:uiPriority w:val="99"/>
    <w:semiHidden/>
    <w:rsid w:val="004E5FEA"/>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8"/>
      <w:szCs w:val="28"/>
      <w:u w:color="000000"/>
    </w:rPr>
  </w:style>
  <w:style w:type="paragraph" w:styleId="Nessunaspaziatura">
    <w:name w:val="No Spacing"/>
    <w:uiPriority w:val="1"/>
    <w:qFormat/>
    <w:rsid w:val="00B81EE9"/>
    <w:pPr>
      <w:jc w:val="both"/>
    </w:pPr>
    <w:rPr>
      <w:rFonts w:cs="Arial Unicode MS"/>
      <w:color w:val="000000"/>
      <w:sz w:val="28"/>
      <w:szCs w:val="28"/>
      <w:u w:color="000000"/>
    </w:rPr>
  </w:style>
  <w:style w:type="character" w:customStyle="1" w:styleId="Titolo1Carattere">
    <w:name w:val="Titolo 1 Carattere"/>
    <w:basedOn w:val="Carpredefinitoparagrafo"/>
    <w:link w:val="Titolo1"/>
    <w:uiPriority w:val="9"/>
    <w:rsid w:val="00B81EE9"/>
    <w:rPr>
      <w:rFonts w:asciiTheme="majorHAnsi" w:eastAsiaTheme="majorEastAsia" w:hAnsiTheme="majorHAnsi" w:cstheme="majorBidi"/>
      <w:color w:val="365F91" w:themeColor="accent1" w:themeShade="BF"/>
      <w:sz w:val="32"/>
      <w:szCs w:val="3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082052">
      <w:bodyDiv w:val="1"/>
      <w:marLeft w:val="0"/>
      <w:marRight w:val="0"/>
      <w:marTop w:val="0"/>
      <w:marBottom w:val="0"/>
      <w:divBdr>
        <w:top w:val="none" w:sz="0" w:space="0" w:color="auto"/>
        <w:left w:val="none" w:sz="0" w:space="0" w:color="auto"/>
        <w:bottom w:val="none" w:sz="0" w:space="0" w:color="auto"/>
        <w:right w:val="none" w:sz="0" w:space="0" w:color="auto"/>
      </w:divBdr>
    </w:div>
    <w:div w:id="361131929">
      <w:bodyDiv w:val="1"/>
      <w:marLeft w:val="0"/>
      <w:marRight w:val="0"/>
      <w:marTop w:val="0"/>
      <w:marBottom w:val="0"/>
      <w:divBdr>
        <w:top w:val="none" w:sz="0" w:space="0" w:color="auto"/>
        <w:left w:val="none" w:sz="0" w:space="0" w:color="auto"/>
        <w:bottom w:val="none" w:sz="0" w:space="0" w:color="auto"/>
        <w:right w:val="none" w:sz="0" w:space="0" w:color="auto"/>
      </w:divBdr>
    </w:div>
    <w:div w:id="1776905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Tema di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ema di Office">
      <a:majorFont>
        <a:latin typeface="Helvetica"/>
        <a:ea typeface="Helvetica"/>
        <a:cs typeface="Helvetica"/>
      </a:majorFont>
      <a:minorFont>
        <a:latin typeface="Helvetica"/>
        <a:ea typeface="Helvetica"/>
        <a:cs typeface="Helvetica"/>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6C2BF-B5DA-46E8-B47E-484AFB543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1207</Words>
  <Characters>6880</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Studi Economici UI Torino</dc:creator>
  <cp:lastModifiedBy>Lidia Barberis</cp:lastModifiedBy>
  <cp:revision>6</cp:revision>
  <cp:lastPrinted>2021-03-29T13:27:00Z</cp:lastPrinted>
  <dcterms:created xsi:type="dcterms:W3CDTF">2023-12-14T10:00:00Z</dcterms:created>
  <dcterms:modified xsi:type="dcterms:W3CDTF">2024-04-08T10:25:00Z</dcterms:modified>
</cp:coreProperties>
</file>