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5F5" w:rsidRPr="006D6AE0" w:rsidRDefault="00F845F5" w:rsidP="00E83615">
      <w:pPr>
        <w:spacing w:line="360" w:lineRule="auto"/>
        <w:rPr>
          <w:noProof/>
          <w:color w:val="auto"/>
          <w:highlight w:val="yellow"/>
        </w:rPr>
      </w:pPr>
      <w:bookmarkStart w:id="0" w:name="_GoBack"/>
      <w:bookmarkEnd w:id="0"/>
      <w:r w:rsidRPr="006D6AE0">
        <w:rPr>
          <w:rFonts w:ascii="Roboto" w:hAnsi="Roboto"/>
          <w:b/>
          <w:bCs/>
          <w:noProof/>
          <w:color w:val="auto"/>
          <w:highlight w:val="yellow"/>
          <w:shd w:val="clear" w:color="auto" w:fill="FFFF00"/>
        </w:rPr>
        <w:drawing>
          <wp:anchor distT="0" distB="0" distL="0" distR="0" simplePos="0" relativeHeight="251659264" behindDoc="0" locked="0" layoutInCell="1" allowOverlap="1" wp14:anchorId="0CDD16C3" wp14:editId="18BEDFC1">
            <wp:simplePos x="0" y="0"/>
            <wp:positionH relativeFrom="page">
              <wp:posOffset>2649855</wp:posOffset>
            </wp:positionH>
            <wp:positionV relativeFrom="line">
              <wp:posOffset>174651</wp:posOffset>
            </wp:positionV>
            <wp:extent cx="2023200" cy="770401"/>
            <wp:effectExtent l="0" t="0" r="0" b="0"/>
            <wp:wrapNone/>
            <wp:docPr id="1073741825" name="officeArt object" descr="UNIONE INDUSTRIALE PIEMONTE"/>
            <wp:cNvGraphicFramePr/>
            <a:graphic xmlns:a="http://schemas.openxmlformats.org/drawingml/2006/main">
              <a:graphicData uri="http://schemas.openxmlformats.org/drawingml/2006/picture">
                <pic:pic xmlns:pic="http://schemas.openxmlformats.org/drawingml/2006/picture">
                  <pic:nvPicPr>
                    <pic:cNvPr id="1073741825" name="image1.png" descr="UNIONE INDUSTRIALE PIEMONTE"/>
                    <pic:cNvPicPr>
                      <a:picLocks noChangeAspect="1"/>
                    </pic:cNvPicPr>
                  </pic:nvPicPr>
                  <pic:blipFill>
                    <a:blip r:embed="rId8"/>
                    <a:stretch>
                      <a:fillRect/>
                    </a:stretch>
                  </pic:blipFill>
                  <pic:spPr>
                    <a:xfrm>
                      <a:off x="0" y="0"/>
                      <a:ext cx="2023200" cy="770401"/>
                    </a:xfrm>
                    <a:prstGeom prst="rect">
                      <a:avLst/>
                    </a:prstGeom>
                    <a:ln w="12700" cap="flat">
                      <a:noFill/>
                      <a:miter lim="400000"/>
                    </a:ln>
                    <a:effectLst/>
                  </pic:spPr>
                </pic:pic>
              </a:graphicData>
            </a:graphic>
          </wp:anchor>
        </w:drawing>
      </w:r>
    </w:p>
    <w:p w:rsidR="00F845F5" w:rsidRPr="006D6AE0" w:rsidRDefault="00F845F5" w:rsidP="00E83615">
      <w:pPr>
        <w:spacing w:line="360" w:lineRule="auto"/>
        <w:rPr>
          <w:noProof/>
          <w:color w:val="auto"/>
          <w:highlight w:val="yellow"/>
        </w:rPr>
      </w:pPr>
    </w:p>
    <w:p w:rsidR="00F845F5" w:rsidRPr="006D6AE0" w:rsidRDefault="00F845F5" w:rsidP="00E83615">
      <w:pPr>
        <w:spacing w:line="360" w:lineRule="auto"/>
        <w:rPr>
          <w:noProof/>
          <w:color w:val="auto"/>
          <w:highlight w:val="yellow"/>
        </w:rPr>
      </w:pPr>
    </w:p>
    <w:p w:rsidR="00373630" w:rsidRPr="006D6AE0" w:rsidRDefault="00373630" w:rsidP="00E83615">
      <w:pPr>
        <w:spacing w:line="360" w:lineRule="auto"/>
        <w:rPr>
          <w:b/>
          <w:bCs/>
          <w:color w:val="auto"/>
          <w:sz w:val="24"/>
          <w:szCs w:val="24"/>
          <w:highlight w:val="yellow"/>
        </w:rPr>
      </w:pPr>
      <w:r w:rsidRPr="006D6AE0">
        <w:rPr>
          <w:b/>
          <w:bCs/>
          <w:color w:val="auto"/>
          <w:sz w:val="24"/>
          <w:szCs w:val="24"/>
          <w:highlight w:val="yellow"/>
        </w:rPr>
        <w:t xml:space="preserve">                 </w:t>
      </w:r>
    </w:p>
    <w:p w:rsidR="003C393A" w:rsidRPr="006D6AE0" w:rsidRDefault="003C393A" w:rsidP="00E83615">
      <w:pPr>
        <w:spacing w:line="360" w:lineRule="auto"/>
        <w:rPr>
          <w:b/>
          <w:bCs/>
          <w:color w:val="auto"/>
          <w:sz w:val="24"/>
          <w:szCs w:val="24"/>
          <w:highlight w:val="yellow"/>
        </w:rPr>
      </w:pPr>
    </w:p>
    <w:p w:rsidR="00F845F5" w:rsidRPr="006D6AE0" w:rsidRDefault="00F845F5" w:rsidP="00E83615">
      <w:pPr>
        <w:spacing w:line="360" w:lineRule="auto"/>
        <w:rPr>
          <w:b/>
          <w:bCs/>
          <w:color w:val="auto"/>
          <w:sz w:val="24"/>
          <w:szCs w:val="24"/>
          <w:highlight w:val="yellow"/>
        </w:rPr>
      </w:pPr>
    </w:p>
    <w:p w:rsidR="00511E24" w:rsidRPr="000E2C76" w:rsidRDefault="006802D1" w:rsidP="00E83615">
      <w:pPr>
        <w:jc w:val="center"/>
        <w:rPr>
          <w:rFonts w:ascii="Roboto" w:hAnsi="Roboto"/>
          <w:b/>
          <w:bCs/>
          <w:color w:val="auto"/>
        </w:rPr>
      </w:pPr>
      <w:r w:rsidRPr="000E2C76">
        <w:rPr>
          <w:rFonts w:ascii="Roboto" w:hAnsi="Roboto"/>
          <w:b/>
          <w:bCs/>
          <w:color w:val="auto"/>
        </w:rPr>
        <w:t>COMUNICATO STAMPA</w:t>
      </w:r>
    </w:p>
    <w:p w:rsidR="00511E24" w:rsidRPr="000E2C76" w:rsidRDefault="00511E24" w:rsidP="00E83615">
      <w:pPr>
        <w:rPr>
          <w:rFonts w:ascii="Roboto" w:hAnsi="Roboto"/>
          <w:b/>
          <w:bCs/>
          <w:color w:val="auto"/>
          <w:shd w:val="clear" w:color="auto" w:fill="FFFF00"/>
        </w:rPr>
      </w:pPr>
    </w:p>
    <w:p w:rsidR="003C48CC" w:rsidRPr="000E2C76" w:rsidRDefault="006802D1" w:rsidP="00E83615">
      <w:pPr>
        <w:pBdr>
          <w:top w:val="single" w:sz="4" w:space="0" w:color="000000"/>
          <w:left w:val="single" w:sz="4" w:space="0" w:color="000000"/>
          <w:bottom w:val="single" w:sz="4" w:space="0" w:color="000000"/>
          <w:right w:val="single" w:sz="4" w:space="0" w:color="000000"/>
        </w:pBdr>
        <w:jc w:val="center"/>
        <w:rPr>
          <w:rFonts w:ascii="Roboto" w:hAnsi="Roboto"/>
          <w:b/>
          <w:bCs/>
          <w:color w:val="auto"/>
        </w:rPr>
      </w:pPr>
      <w:r w:rsidRPr="000E2C76">
        <w:rPr>
          <w:rFonts w:ascii="Roboto" w:hAnsi="Roboto"/>
          <w:b/>
          <w:bCs/>
          <w:color w:val="auto"/>
        </w:rPr>
        <w:t xml:space="preserve">LE PREVISIONI </w:t>
      </w:r>
      <w:r w:rsidR="003C48CC" w:rsidRPr="000E2C76">
        <w:rPr>
          <w:rFonts w:ascii="Roboto" w:hAnsi="Roboto"/>
          <w:b/>
          <w:bCs/>
          <w:color w:val="auto"/>
        </w:rPr>
        <w:t>DELLE IMPRESE PIEMONTESI PER IL</w:t>
      </w:r>
    </w:p>
    <w:p w:rsidR="00511E24" w:rsidRPr="000E2C76" w:rsidRDefault="00255127" w:rsidP="00E83615">
      <w:pPr>
        <w:pBdr>
          <w:top w:val="single" w:sz="4" w:space="0" w:color="000000"/>
          <w:left w:val="single" w:sz="4" w:space="0" w:color="000000"/>
          <w:bottom w:val="single" w:sz="4" w:space="0" w:color="000000"/>
          <w:right w:val="single" w:sz="4" w:space="0" w:color="000000"/>
        </w:pBdr>
        <w:jc w:val="center"/>
        <w:rPr>
          <w:rFonts w:ascii="Roboto" w:hAnsi="Roboto"/>
          <w:b/>
          <w:bCs/>
          <w:color w:val="auto"/>
        </w:rPr>
      </w:pPr>
      <w:r w:rsidRPr="000E2C76">
        <w:rPr>
          <w:rFonts w:ascii="Roboto" w:hAnsi="Roboto"/>
          <w:b/>
          <w:bCs/>
          <w:color w:val="auto"/>
        </w:rPr>
        <w:t>I</w:t>
      </w:r>
      <w:r w:rsidR="000E2C76" w:rsidRPr="000E2C76">
        <w:rPr>
          <w:rFonts w:ascii="Roboto" w:hAnsi="Roboto"/>
          <w:b/>
          <w:bCs/>
          <w:color w:val="auto"/>
        </w:rPr>
        <w:t>I</w:t>
      </w:r>
      <w:r w:rsidR="001E53BA" w:rsidRPr="000E2C76">
        <w:rPr>
          <w:rFonts w:ascii="Roboto" w:hAnsi="Roboto"/>
          <w:b/>
          <w:bCs/>
          <w:color w:val="auto"/>
        </w:rPr>
        <w:t>I</w:t>
      </w:r>
      <w:r w:rsidR="003C48CC" w:rsidRPr="000E2C76">
        <w:rPr>
          <w:rFonts w:ascii="Roboto" w:hAnsi="Roboto"/>
          <w:b/>
          <w:bCs/>
          <w:color w:val="auto"/>
        </w:rPr>
        <w:t xml:space="preserve"> </w:t>
      </w:r>
      <w:r w:rsidR="006802D1" w:rsidRPr="000E2C76">
        <w:rPr>
          <w:rFonts w:ascii="Roboto" w:hAnsi="Roboto"/>
          <w:b/>
          <w:bCs/>
          <w:color w:val="auto"/>
        </w:rPr>
        <w:t>TRIMESTRE 202</w:t>
      </w:r>
      <w:r w:rsidR="002B7493" w:rsidRPr="000E2C76">
        <w:rPr>
          <w:rFonts w:ascii="Roboto" w:hAnsi="Roboto"/>
          <w:b/>
          <w:bCs/>
          <w:color w:val="auto"/>
        </w:rPr>
        <w:t>3</w:t>
      </w:r>
    </w:p>
    <w:p w:rsidR="00511E24" w:rsidRPr="000E2C76" w:rsidRDefault="00511E24" w:rsidP="00E83615">
      <w:pPr>
        <w:rPr>
          <w:rFonts w:ascii="Roboto" w:hAnsi="Roboto"/>
          <w:b/>
          <w:bCs/>
          <w:color w:val="auto"/>
          <w:shd w:val="clear" w:color="auto" w:fill="FFFF00"/>
        </w:rPr>
      </w:pPr>
    </w:p>
    <w:p w:rsidR="0078640F" w:rsidRPr="000E2C76" w:rsidRDefault="006802D1" w:rsidP="00E83615">
      <w:pPr>
        <w:rPr>
          <w:rFonts w:ascii="Roboto" w:hAnsi="Roboto"/>
          <w:color w:val="auto"/>
        </w:rPr>
      </w:pPr>
      <w:r w:rsidRPr="000E2C76">
        <w:rPr>
          <w:rFonts w:ascii="Roboto" w:hAnsi="Roboto"/>
          <w:i/>
          <w:iCs/>
          <w:color w:val="auto"/>
        </w:rPr>
        <w:t xml:space="preserve">Torino, </w:t>
      </w:r>
      <w:r w:rsidR="000E2C76" w:rsidRPr="000E2C76">
        <w:rPr>
          <w:rFonts w:ascii="Roboto" w:hAnsi="Roboto"/>
          <w:i/>
          <w:iCs/>
          <w:color w:val="auto"/>
        </w:rPr>
        <w:t>11 luglio</w:t>
      </w:r>
      <w:r w:rsidRPr="000E2C76">
        <w:rPr>
          <w:rFonts w:ascii="Roboto" w:hAnsi="Roboto"/>
          <w:i/>
          <w:iCs/>
          <w:color w:val="auto"/>
        </w:rPr>
        <w:t xml:space="preserve"> 202</w:t>
      </w:r>
      <w:r w:rsidR="001E53BA" w:rsidRPr="000E2C76">
        <w:rPr>
          <w:rFonts w:ascii="Roboto" w:hAnsi="Roboto"/>
          <w:i/>
          <w:iCs/>
          <w:color w:val="auto"/>
        </w:rPr>
        <w:t>3</w:t>
      </w:r>
      <w:r w:rsidR="00CC1DA0" w:rsidRPr="000E2C76">
        <w:rPr>
          <w:rFonts w:ascii="Roboto" w:hAnsi="Roboto"/>
          <w:color w:val="auto"/>
        </w:rPr>
        <w:t>.</w:t>
      </w:r>
    </w:p>
    <w:p w:rsidR="00660944" w:rsidRPr="006D6AE0" w:rsidRDefault="00660944" w:rsidP="00E83615">
      <w:pPr>
        <w:rPr>
          <w:rFonts w:ascii="Roboto" w:hAnsi="Roboto"/>
          <w:color w:val="auto"/>
          <w:highlight w:val="yellow"/>
        </w:rPr>
      </w:pPr>
    </w:p>
    <w:p w:rsidR="00FB5C3B" w:rsidRPr="00104DE3" w:rsidRDefault="00B14545" w:rsidP="00B1454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20" w:line="276" w:lineRule="auto"/>
        <w:textAlignment w:val="baseline"/>
        <w:rPr>
          <w:color w:val="auto"/>
        </w:rPr>
      </w:pPr>
      <w:r w:rsidRPr="00B14545">
        <w:rPr>
          <w:color w:val="auto"/>
        </w:rPr>
        <w:t xml:space="preserve">L’indagine congiunturale, realizzata a giugno tra le aziende del sistema confindustriale piemontese, </w:t>
      </w:r>
      <w:r w:rsidR="00FB5C3B" w:rsidRPr="00104DE3">
        <w:rPr>
          <w:color w:val="auto"/>
        </w:rPr>
        <w:t xml:space="preserve">raccoglie le valutazioni di </w:t>
      </w:r>
      <w:r w:rsidR="00104DE3" w:rsidRPr="00104DE3">
        <w:rPr>
          <w:color w:val="auto"/>
        </w:rPr>
        <w:t>oltre</w:t>
      </w:r>
      <w:r w:rsidR="00FB5C3B" w:rsidRPr="00104DE3">
        <w:rPr>
          <w:color w:val="auto"/>
        </w:rPr>
        <w:t xml:space="preserve"> 1.</w:t>
      </w:r>
      <w:r w:rsidR="00104DE3" w:rsidRPr="00104DE3">
        <w:rPr>
          <w:color w:val="auto"/>
        </w:rPr>
        <w:t>2</w:t>
      </w:r>
      <w:r w:rsidR="00FB5C3B" w:rsidRPr="00104DE3">
        <w:rPr>
          <w:color w:val="auto"/>
        </w:rPr>
        <w:t>00 imprese manifatturiere e dei servizi.</w:t>
      </w:r>
    </w:p>
    <w:p w:rsidR="00104DE3" w:rsidRPr="00104DE3" w:rsidRDefault="00FB5C3B" w:rsidP="00E8361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20" w:line="276" w:lineRule="auto"/>
        <w:textAlignment w:val="baseline"/>
        <w:rPr>
          <w:color w:val="auto"/>
        </w:rPr>
      </w:pPr>
      <w:r w:rsidRPr="00104DE3">
        <w:rPr>
          <w:color w:val="auto"/>
        </w:rPr>
        <w:t xml:space="preserve">A </w:t>
      </w:r>
      <w:r w:rsidR="00104DE3" w:rsidRPr="00104DE3">
        <w:rPr>
          <w:color w:val="auto"/>
        </w:rPr>
        <w:t>marzo</w:t>
      </w:r>
      <w:r w:rsidRPr="00104DE3">
        <w:rPr>
          <w:color w:val="auto"/>
        </w:rPr>
        <w:t xml:space="preserve"> avevamo </w:t>
      </w:r>
      <w:r w:rsidR="00104DE3" w:rsidRPr="00104DE3">
        <w:rPr>
          <w:color w:val="auto"/>
        </w:rPr>
        <w:t xml:space="preserve">riscontrato un buon miglioramento del clima di fiducia, grazie soprattutto al rallentamento dell’inflazione e della dinamica dei costi di materie prime e energia. </w:t>
      </w:r>
    </w:p>
    <w:p w:rsidR="00104DE3" w:rsidRDefault="00104DE3" w:rsidP="00E8361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20" w:line="276" w:lineRule="auto"/>
        <w:textAlignment w:val="baseline"/>
        <w:rPr>
          <w:color w:val="auto"/>
        </w:rPr>
      </w:pPr>
      <w:r w:rsidRPr="00104DE3">
        <w:rPr>
          <w:color w:val="auto"/>
        </w:rPr>
        <w:t xml:space="preserve">A giugno si delinea un raffreddamento delle attese, spiegato per intero dalla netta frenata del comparto manifatturiero cui si contrappone il miglioramento del comparto dei servizi. D’altra parte, restano molto robusti gli indicatori a consuntivo, a conferma del fatto che siamo ben lontani dal prefigurare una svolta </w:t>
      </w:r>
      <w:r>
        <w:rPr>
          <w:color w:val="auto"/>
        </w:rPr>
        <w:t xml:space="preserve">negativa del ciclo congiunturale. L’utilizzo della CIG scende al di sotto del 6%; nei servizi è praticamente a zero. Il tasso di utilizzo degli impianti rimane attestato intorno a un livello di pieno utilizzo. Stabile la redditività; tengono gli investimenti, su livelli elevati. Si attenuano ulteriormente le pressioni sui costi degli input. </w:t>
      </w:r>
    </w:p>
    <w:p w:rsidR="007A326B" w:rsidRPr="007A326B" w:rsidRDefault="007A326B" w:rsidP="007A326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7A326B">
        <w:rPr>
          <w:color w:val="auto"/>
        </w:rPr>
        <w:t xml:space="preserve">Si riduce la forbice dimensionale, tra imprese con oltre 50 addetti da un lato e imprese al di sotto dei 50 addetti dall’altro. </w:t>
      </w:r>
    </w:p>
    <w:p w:rsidR="00DA0ACE" w:rsidRPr="007B2624" w:rsidRDefault="008930DE" w:rsidP="00E8361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104DE3">
        <w:rPr>
          <w:color w:val="auto"/>
        </w:rPr>
        <w:t xml:space="preserve">A livello settoriale, </w:t>
      </w:r>
      <w:r w:rsidR="00104DE3" w:rsidRPr="00104DE3">
        <w:rPr>
          <w:color w:val="auto"/>
        </w:rPr>
        <w:t xml:space="preserve">il terzo trimestre segna una decisa divaricazione tra </w:t>
      </w:r>
      <w:r w:rsidR="007960C2" w:rsidRPr="00104DE3">
        <w:rPr>
          <w:color w:val="auto"/>
        </w:rPr>
        <w:t>le valutazioni d</w:t>
      </w:r>
      <w:r w:rsidR="00104DE3" w:rsidRPr="00104DE3">
        <w:rPr>
          <w:color w:val="auto"/>
        </w:rPr>
        <w:t xml:space="preserve">i </w:t>
      </w:r>
      <w:r w:rsidR="00180506" w:rsidRPr="00104DE3">
        <w:rPr>
          <w:color w:val="auto"/>
        </w:rPr>
        <w:t>manifattur</w:t>
      </w:r>
      <w:r w:rsidR="00104DE3" w:rsidRPr="00104DE3">
        <w:rPr>
          <w:color w:val="auto"/>
        </w:rPr>
        <w:t xml:space="preserve">a e servizi. In particolare, rallenta la metalmeccanica e soprattutto la meccatronica, che mantiene tuttavia un saldo positivo tra attese di aumento e riduzione di produzione e ordini. Al contrario, nei comparti non-meccanici il saldo scende al di sotto del punto di equilibrio, per effetto soprattutto della svolta recessiva di tessile-abbigliamento e carta-grafica. Bene l’alimentare, reggono gomma-plastica, legno, edilizia e impiantisti. </w:t>
      </w:r>
      <w:r w:rsidR="00802915" w:rsidRPr="00104DE3">
        <w:rPr>
          <w:color w:val="auto"/>
        </w:rPr>
        <w:t>edilizia e impiantisti, automotive, industria elettrica, prodotti in m</w:t>
      </w:r>
      <w:r w:rsidR="007056AD" w:rsidRPr="00104DE3">
        <w:rPr>
          <w:color w:val="auto"/>
        </w:rPr>
        <w:t xml:space="preserve">etallo, macchinari e apparecchi. Per quanto riguarda il comparto dei servizi, in tutti i comparti i saldi </w:t>
      </w:r>
      <w:r w:rsidR="00104DE3">
        <w:rPr>
          <w:color w:val="auto"/>
        </w:rPr>
        <w:t xml:space="preserve">sono decisamente positivi e in quasi tutti i casi si rafforzano rispetto a </w:t>
      </w:r>
      <w:r w:rsidR="00104DE3" w:rsidRPr="007B2624">
        <w:rPr>
          <w:color w:val="auto"/>
        </w:rPr>
        <w:t>marzo</w:t>
      </w:r>
      <w:r w:rsidR="007056AD" w:rsidRPr="007B2624">
        <w:rPr>
          <w:color w:val="auto"/>
        </w:rPr>
        <w:t xml:space="preserve">. </w:t>
      </w:r>
    </w:p>
    <w:p w:rsidR="00455758" w:rsidRPr="007B2624" w:rsidRDefault="00455758" w:rsidP="00E83615">
      <w:pPr>
        <w:rPr>
          <w:color w:val="auto"/>
          <w:highlight w:val="yellow"/>
        </w:rPr>
      </w:pPr>
    </w:p>
    <w:p w:rsidR="00792A0D" w:rsidRPr="006D6AE0" w:rsidRDefault="00792A0D" w:rsidP="00E83615">
      <w:pPr>
        <w:rPr>
          <w:rFonts w:ascii="Roboto" w:hAnsi="Roboto"/>
          <w:b/>
          <w:bCs/>
          <w:highlight w:val="yellow"/>
        </w:rPr>
      </w:pPr>
    </w:p>
    <w:p w:rsidR="00D3084D" w:rsidRPr="000E2C76" w:rsidRDefault="00D3084D" w:rsidP="00E83615">
      <w:pPr>
        <w:rPr>
          <w:rFonts w:ascii="Roboto" w:hAnsi="Roboto"/>
          <w:b/>
          <w:bCs/>
          <w:color w:val="auto"/>
          <w:u w:val="single"/>
        </w:rPr>
      </w:pPr>
      <w:r w:rsidRPr="000E2C76">
        <w:rPr>
          <w:rFonts w:ascii="Roboto" w:hAnsi="Roboto"/>
          <w:b/>
          <w:bCs/>
          <w:color w:val="auto"/>
          <w:u w:val="single"/>
        </w:rPr>
        <w:t xml:space="preserve">Commenti sulle previsioni del </w:t>
      </w:r>
      <w:r w:rsidR="000E2C76">
        <w:rPr>
          <w:rFonts w:ascii="Roboto" w:hAnsi="Roboto"/>
          <w:b/>
          <w:bCs/>
          <w:color w:val="auto"/>
          <w:u w:val="single"/>
        </w:rPr>
        <w:t>terzo</w:t>
      </w:r>
      <w:r w:rsidRPr="000E2C76">
        <w:rPr>
          <w:rFonts w:ascii="Roboto" w:hAnsi="Roboto"/>
          <w:b/>
          <w:bCs/>
          <w:color w:val="auto"/>
          <w:u w:val="single"/>
        </w:rPr>
        <w:t xml:space="preserve"> trimestre 202</w:t>
      </w:r>
      <w:r w:rsidR="005D4C2D" w:rsidRPr="000E2C76">
        <w:rPr>
          <w:rFonts w:ascii="Roboto" w:hAnsi="Roboto"/>
          <w:b/>
          <w:bCs/>
          <w:color w:val="auto"/>
          <w:u w:val="single"/>
        </w:rPr>
        <w:t>3</w:t>
      </w:r>
    </w:p>
    <w:p w:rsidR="005D4C2D" w:rsidRPr="000E2C76" w:rsidRDefault="005D4C2D" w:rsidP="00E83615">
      <w:pPr>
        <w:rPr>
          <w:rFonts w:cs="Times New Roman"/>
          <w:color w:val="auto"/>
        </w:rPr>
      </w:pPr>
      <w:bookmarkStart w:id="1" w:name="_Hlk107852500"/>
    </w:p>
    <w:bookmarkEnd w:id="1"/>
    <w:p w:rsidR="003A20AC" w:rsidRPr="003A20AC" w:rsidRDefault="00A41AEA" w:rsidP="003A20A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0E2C76">
        <w:rPr>
          <w:rFonts w:cs="Times New Roman"/>
          <w:b/>
          <w:bCs/>
          <w:color w:val="212121"/>
        </w:rPr>
        <w:t>Marco Gay</w:t>
      </w:r>
      <w:r w:rsidRPr="000E2C76">
        <w:rPr>
          <w:rFonts w:cs="Times New Roman"/>
          <w:color w:val="212121"/>
        </w:rPr>
        <w:t xml:space="preserve">, </w:t>
      </w:r>
      <w:r w:rsidRPr="003A20AC">
        <w:rPr>
          <w:color w:val="auto"/>
        </w:rPr>
        <w:t>Presidente di Confindustria Piemonte: «</w:t>
      </w:r>
      <w:r w:rsidR="003A20AC" w:rsidRPr="003A20AC">
        <w:rPr>
          <w:color w:val="auto"/>
        </w:rPr>
        <w:t xml:space="preserve">Le attese delle nostre imprese restano positive. Siamo al dodicesimo trimestre di crescita consecutiva dei tre indici principali per l'economia Piemontese: l’utilizzo degli impianti, +12,8% in tre anni; investimenti, +11,5% rispetto a dopo la pandemia; occupazione, con una crescita di 26,3 punti nel saldo ottimisti pessimisti. Un percorso che anche grazie alla riduzione del costo dell’energia, sta agevolando i programmi di sviluppo, come dimostra il ricorso alla </w:t>
      </w:r>
      <w:proofErr w:type="spellStart"/>
      <w:r w:rsidR="003A20AC" w:rsidRPr="003A20AC">
        <w:rPr>
          <w:color w:val="auto"/>
        </w:rPr>
        <w:t>Cig</w:t>
      </w:r>
      <w:proofErr w:type="spellEnd"/>
      <w:r w:rsidR="003A20AC" w:rsidRPr="003A20AC">
        <w:rPr>
          <w:color w:val="auto"/>
        </w:rPr>
        <w:t xml:space="preserve"> ai minimi storici. </w:t>
      </w:r>
    </w:p>
    <w:p w:rsidR="003A20AC" w:rsidRPr="003A20AC" w:rsidRDefault="003A20AC" w:rsidP="003A20A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3A20AC">
        <w:rPr>
          <w:color w:val="auto"/>
        </w:rPr>
        <w:t xml:space="preserve">Nella lettura delle previsioni dei nostri associati sono percepibili i timori legati ai due nostri principali mercati di riferimento, Germania e Francia. Così come pesano inflazione e aumento dei tassi. </w:t>
      </w:r>
    </w:p>
    <w:p w:rsidR="00A41AEA" w:rsidRPr="003A20AC" w:rsidRDefault="003A20AC" w:rsidP="003A20A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3A20AC">
        <w:rPr>
          <w:color w:val="auto"/>
        </w:rPr>
        <w:t xml:space="preserve">Oggi più che mai diventa quindi ancora più urgente un piano Industria 5.0, che razionalizzi e stabilizzi gli incentivi esistenti per gli investimenti, consentendo alle imprese di programmare a medio-lungo termine. Integrando questo programma nel </w:t>
      </w:r>
      <w:proofErr w:type="spellStart"/>
      <w:r w:rsidRPr="003A20AC">
        <w:rPr>
          <w:color w:val="auto"/>
        </w:rPr>
        <w:t>Pnrr</w:t>
      </w:r>
      <w:proofErr w:type="spellEnd"/>
      <w:r w:rsidRPr="003A20AC">
        <w:rPr>
          <w:color w:val="auto"/>
        </w:rPr>
        <w:t xml:space="preserve"> con il supporto alle </w:t>
      </w:r>
      <w:proofErr w:type="spellStart"/>
      <w:r w:rsidRPr="003A20AC">
        <w:rPr>
          <w:color w:val="auto"/>
        </w:rPr>
        <w:t>Pmi</w:t>
      </w:r>
      <w:proofErr w:type="spellEnd"/>
      <w:r w:rsidRPr="003A20AC">
        <w:rPr>
          <w:color w:val="auto"/>
        </w:rPr>
        <w:t xml:space="preserve"> tecnologiche del piano europeo </w:t>
      </w:r>
      <w:proofErr w:type="spellStart"/>
      <w:r w:rsidRPr="003A20AC">
        <w:rPr>
          <w:color w:val="auto"/>
        </w:rPr>
        <w:t>Sure</w:t>
      </w:r>
      <w:proofErr w:type="spellEnd"/>
      <w:r w:rsidRPr="003A20AC">
        <w:rPr>
          <w:color w:val="auto"/>
        </w:rPr>
        <w:t xml:space="preserve"> 5.0, avremo anche messo basi importanti di supporto all’accelerazione dei percorsi formativi e di aggiornamento professionale. La crescente richiesta di competenze, legata alle transizioni in atto, è la chiave per aumentare produttività e attrattività delle nostre aziende e del nostro territorio</w:t>
      </w:r>
      <w:r w:rsidR="00A41AEA" w:rsidRPr="003A20AC">
        <w:rPr>
          <w:color w:val="auto"/>
        </w:rPr>
        <w:t>».</w:t>
      </w:r>
    </w:p>
    <w:p w:rsidR="00D3084D" w:rsidRPr="006D6AE0" w:rsidRDefault="00D3084D" w:rsidP="00E83615">
      <w:pPr>
        <w:rPr>
          <w:color w:val="auto"/>
          <w:highlight w:val="yellow"/>
        </w:rPr>
      </w:pPr>
    </w:p>
    <w:p w:rsidR="009A0CA9" w:rsidRPr="00B53A77" w:rsidRDefault="009A0CA9" w:rsidP="00E83615">
      <w:pPr>
        <w:rPr>
          <w:rFonts w:ascii="Roboto" w:hAnsi="Roboto"/>
          <w:b/>
          <w:bCs/>
          <w:color w:val="auto"/>
          <w:u w:val="single"/>
        </w:rPr>
      </w:pPr>
      <w:r w:rsidRPr="00B53A77">
        <w:rPr>
          <w:rFonts w:ascii="Roboto" w:hAnsi="Roboto"/>
          <w:b/>
          <w:bCs/>
          <w:color w:val="auto"/>
          <w:u w:val="single"/>
        </w:rPr>
        <w:t>Riportiamo in dettaglio i principali risultati dell’indagine</w:t>
      </w:r>
    </w:p>
    <w:p w:rsidR="00EE15EC" w:rsidRPr="009D7A66" w:rsidRDefault="00007731"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B53A77">
        <w:rPr>
          <w:color w:val="auto"/>
        </w:rPr>
        <w:t xml:space="preserve">Per </w:t>
      </w:r>
      <w:r w:rsidR="00E92759" w:rsidRPr="00B53A77">
        <w:rPr>
          <w:color w:val="auto"/>
        </w:rPr>
        <w:t xml:space="preserve">il </w:t>
      </w:r>
      <w:r w:rsidR="00B53A77" w:rsidRPr="00B53A77">
        <w:rPr>
          <w:color w:val="auto"/>
        </w:rPr>
        <w:t>terzo</w:t>
      </w:r>
      <w:r w:rsidR="00E92759" w:rsidRPr="00B53A77">
        <w:rPr>
          <w:color w:val="auto"/>
        </w:rPr>
        <w:t xml:space="preserve"> trimestre</w:t>
      </w:r>
      <w:r w:rsidRPr="00B53A77">
        <w:rPr>
          <w:color w:val="auto"/>
        </w:rPr>
        <w:t xml:space="preserve"> del 202</w:t>
      </w:r>
      <w:r w:rsidR="00216D6F" w:rsidRPr="00B53A77">
        <w:rPr>
          <w:color w:val="auto"/>
        </w:rPr>
        <w:t>3</w:t>
      </w:r>
      <w:r w:rsidRPr="00B53A77">
        <w:rPr>
          <w:color w:val="auto"/>
        </w:rPr>
        <w:t xml:space="preserve">, </w:t>
      </w:r>
      <w:r w:rsidR="00C26D63" w:rsidRPr="00B53A77">
        <w:rPr>
          <w:color w:val="auto"/>
        </w:rPr>
        <w:t>le attese sulla produzione delle</w:t>
      </w:r>
      <w:r w:rsidR="009A0CA9" w:rsidRPr="00B53A77">
        <w:rPr>
          <w:color w:val="auto"/>
        </w:rPr>
        <w:t xml:space="preserve"> </w:t>
      </w:r>
      <w:r w:rsidR="00216D6F" w:rsidRPr="00B53A77">
        <w:rPr>
          <w:color w:val="auto"/>
        </w:rPr>
        <w:t>oltre 1.</w:t>
      </w:r>
      <w:r w:rsidR="00B53A77" w:rsidRPr="00B53A77">
        <w:rPr>
          <w:color w:val="auto"/>
        </w:rPr>
        <w:t>2</w:t>
      </w:r>
      <w:r w:rsidR="00EE15EC" w:rsidRPr="00B53A77">
        <w:rPr>
          <w:color w:val="auto"/>
        </w:rPr>
        <w:t>00</w:t>
      </w:r>
      <w:r w:rsidR="002C7EA5" w:rsidRPr="00B53A77">
        <w:rPr>
          <w:color w:val="auto"/>
        </w:rPr>
        <w:t xml:space="preserve"> </w:t>
      </w:r>
      <w:r w:rsidR="00C26D63" w:rsidRPr="00B53A77">
        <w:rPr>
          <w:color w:val="auto"/>
        </w:rPr>
        <w:t xml:space="preserve">imprese </w:t>
      </w:r>
      <w:r w:rsidR="002C7EA5" w:rsidRPr="00B53A77">
        <w:rPr>
          <w:color w:val="auto"/>
        </w:rPr>
        <w:t xml:space="preserve">piemontesi </w:t>
      </w:r>
      <w:r w:rsidR="00B53A77" w:rsidRPr="00B53A77">
        <w:rPr>
          <w:color w:val="auto"/>
        </w:rPr>
        <w:t>restano positive, in linea con</w:t>
      </w:r>
      <w:r w:rsidR="00216D6F" w:rsidRPr="00B53A77">
        <w:rPr>
          <w:color w:val="auto"/>
        </w:rPr>
        <w:t xml:space="preserve"> quelle del </w:t>
      </w:r>
      <w:r w:rsidR="00B53A77" w:rsidRPr="00B53A77">
        <w:rPr>
          <w:color w:val="auto"/>
        </w:rPr>
        <w:t>secondo</w:t>
      </w:r>
      <w:r w:rsidR="00EE15EC" w:rsidRPr="00B53A77">
        <w:rPr>
          <w:color w:val="auto"/>
        </w:rPr>
        <w:t xml:space="preserve"> </w:t>
      </w:r>
      <w:r w:rsidR="006C3605" w:rsidRPr="00B53A77">
        <w:rPr>
          <w:color w:val="auto"/>
        </w:rPr>
        <w:t xml:space="preserve">trimestre: il </w:t>
      </w:r>
      <w:r w:rsidR="00A00C81" w:rsidRPr="00B53A77">
        <w:rPr>
          <w:color w:val="auto"/>
        </w:rPr>
        <w:t>2</w:t>
      </w:r>
      <w:r w:rsidR="00B53A77" w:rsidRPr="00B53A77">
        <w:rPr>
          <w:color w:val="auto"/>
        </w:rPr>
        <w:t>2</w:t>
      </w:r>
      <w:r w:rsidR="00A00C81" w:rsidRPr="00B53A77">
        <w:rPr>
          <w:color w:val="auto"/>
        </w:rPr>
        <w:t>,4</w:t>
      </w:r>
      <w:r w:rsidR="006C3605" w:rsidRPr="00B53A77">
        <w:rPr>
          <w:color w:val="auto"/>
        </w:rPr>
        <w:t xml:space="preserve">% delle aziende prevede un aumento dei livelli di attività, contro il </w:t>
      </w:r>
      <w:r w:rsidR="00B53A77" w:rsidRPr="00B53A77">
        <w:rPr>
          <w:color w:val="auto"/>
        </w:rPr>
        <w:t>14,5</w:t>
      </w:r>
      <w:r w:rsidR="006C3605" w:rsidRPr="00B53A77">
        <w:rPr>
          <w:color w:val="auto"/>
        </w:rPr>
        <w:t>% che si attende una diminuzione. Il saldo ottimisti-pessimisti è pari a +</w:t>
      </w:r>
      <w:r w:rsidR="00A00C81" w:rsidRPr="00B53A77">
        <w:rPr>
          <w:color w:val="auto"/>
        </w:rPr>
        <w:t>1</w:t>
      </w:r>
      <w:r w:rsidR="00B53A77" w:rsidRPr="00B53A77">
        <w:rPr>
          <w:color w:val="auto"/>
        </w:rPr>
        <w:t>3</w:t>
      </w:r>
      <w:r w:rsidR="00A00C81" w:rsidRPr="00B53A77">
        <w:rPr>
          <w:color w:val="auto"/>
        </w:rPr>
        <w:t>,</w:t>
      </w:r>
      <w:r w:rsidR="00B53A77" w:rsidRPr="00B53A77">
        <w:rPr>
          <w:color w:val="auto"/>
        </w:rPr>
        <w:t>7</w:t>
      </w:r>
      <w:r w:rsidR="00216D6F" w:rsidRPr="00B53A77">
        <w:rPr>
          <w:color w:val="auto"/>
        </w:rPr>
        <w:t>% (era +</w:t>
      </w:r>
      <w:r w:rsidR="00B53A77" w:rsidRPr="00B53A77">
        <w:rPr>
          <w:color w:val="auto"/>
        </w:rPr>
        <w:t>1</w:t>
      </w:r>
      <w:r w:rsidR="00B53A77">
        <w:rPr>
          <w:color w:val="auto"/>
        </w:rPr>
        <w:t>5</w:t>
      </w:r>
      <w:r w:rsidR="00B53A77" w:rsidRPr="00B53A77">
        <w:rPr>
          <w:color w:val="auto"/>
        </w:rPr>
        <w:t>,6</w:t>
      </w:r>
      <w:r w:rsidR="00F70FE8" w:rsidRPr="00B53A77">
        <w:rPr>
          <w:color w:val="auto"/>
        </w:rPr>
        <w:t>%</w:t>
      </w:r>
      <w:r w:rsidR="00216D6F" w:rsidRPr="00B53A77">
        <w:rPr>
          <w:color w:val="auto"/>
        </w:rPr>
        <w:t xml:space="preserve"> a </w:t>
      </w:r>
      <w:r w:rsidR="00B53A77" w:rsidRPr="00B53A77">
        <w:rPr>
          <w:color w:val="auto"/>
        </w:rPr>
        <w:t>marzo</w:t>
      </w:r>
      <w:r w:rsidR="00216D6F" w:rsidRPr="009132D4">
        <w:rPr>
          <w:color w:val="auto"/>
        </w:rPr>
        <w:t>)</w:t>
      </w:r>
      <w:r w:rsidR="006C3605" w:rsidRPr="009132D4">
        <w:rPr>
          <w:color w:val="auto"/>
        </w:rPr>
        <w:t>.</w:t>
      </w:r>
    </w:p>
    <w:p w:rsidR="00C46BB1" w:rsidRPr="009D7A66" w:rsidRDefault="00EE15EC"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132D4">
        <w:rPr>
          <w:color w:val="auto"/>
        </w:rPr>
        <w:t xml:space="preserve">Il </w:t>
      </w:r>
      <w:r w:rsidR="00B53A77" w:rsidRPr="009132D4">
        <w:rPr>
          <w:color w:val="auto"/>
        </w:rPr>
        <w:t>19,0</w:t>
      </w:r>
      <w:r w:rsidR="00C26D63" w:rsidRPr="009132D4">
        <w:rPr>
          <w:color w:val="auto"/>
        </w:rPr>
        <w:t>% delle rispondenti prevede un aumento de</w:t>
      </w:r>
      <w:r w:rsidR="006C3605" w:rsidRPr="009132D4">
        <w:rPr>
          <w:color w:val="auto"/>
        </w:rPr>
        <w:t>ll’occupazione</w:t>
      </w:r>
      <w:r w:rsidR="00C26D63" w:rsidRPr="009132D4">
        <w:rPr>
          <w:color w:val="auto"/>
        </w:rPr>
        <w:t>, contro</w:t>
      </w:r>
      <w:r w:rsidR="00C46BB1" w:rsidRPr="009132D4">
        <w:rPr>
          <w:color w:val="auto"/>
        </w:rPr>
        <w:t xml:space="preserve"> </w:t>
      </w:r>
      <w:r w:rsidR="00216D6F" w:rsidRPr="009132D4">
        <w:rPr>
          <w:color w:val="auto"/>
        </w:rPr>
        <w:t xml:space="preserve">il </w:t>
      </w:r>
      <w:r w:rsidR="00B53A77" w:rsidRPr="009132D4">
        <w:rPr>
          <w:color w:val="auto"/>
        </w:rPr>
        <w:t>5,2</w:t>
      </w:r>
      <w:r w:rsidR="00C26D63" w:rsidRPr="009132D4">
        <w:rPr>
          <w:color w:val="auto"/>
        </w:rPr>
        <w:t xml:space="preserve">% che ne prevede la riduzione, </w:t>
      </w:r>
      <w:r w:rsidR="002A45E5" w:rsidRPr="009132D4">
        <w:rPr>
          <w:color w:val="auto"/>
        </w:rPr>
        <w:t>e</w:t>
      </w:r>
      <w:r w:rsidR="00C26D63" w:rsidRPr="009132D4">
        <w:rPr>
          <w:color w:val="auto"/>
        </w:rPr>
        <w:t xml:space="preserve"> un saldo ottimisti-pessimisti pari a +</w:t>
      </w:r>
      <w:r w:rsidR="00B53A77" w:rsidRPr="009132D4">
        <w:rPr>
          <w:color w:val="auto"/>
        </w:rPr>
        <w:t>13,7</w:t>
      </w:r>
      <w:r w:rsidR="00C26D63" w:rsidRPr="009132D4">
        <w:rPr>
          <w:color w:val="auto"/>
        </w:rPr>
        <w:t>%</w:t>
      </w:r>
      <w:r w:rsidR="006C3605" w:rsidRPr="009132D4">
        <w:rPr>
          <w:color w:val="auto"/>
        </w:rPr>
        <w:t xml:space="preserve"> (</w:t>
      </w:r>
      <w:r w:rsidR="00216D6F" w:rsidRPr="009132D4">
        <w:rPr>
          <w:color w:val="auto"/>
        </w:rPr>
        <w:t xml:space="preserve">era </w:t>
      </w:r>
      <w:r w:rsidR="00B53A77" w:rsidRPr="009132D4">
        <w:rPr>
          <w:color w:val="auto"/>
        </w:rPr>
        <w:t>16,6</w:t>
      </w:r>
      <w:r w:rsidR="00F70FE8" w:rsidRPr="009132D4">
        <w:rPr>
          <w:color w:val="auto"/>
        </w:rPr>
        <w:t>%</w:t>
      </w:r>
      <w:r w:rsidR="00216D6F" w:rsidRPr="009132D4">
        <w:rPr>
          <w:color w:val="auto"/>
        </w:rPr>
        <w:t xml:space="preserve"> la scorsa rilevazione</w:t>
      </w:r>
      <w:r w:rsidR="006C3605" w:rsidRPr="009132D4">
        <w:rPr>
          <w:color w:val="auto"/>
        </w:rPr>
        <w:t>)</w:t>
      </w:r>
      <w:r w:rsidR="00C26D63" w:rsidRPr="009132D4">
        <w:rPr>
          <w:color w:val="auto"/>
        </w:rPr>
        <w:t>.</w:t>
      </w:r>
      <w:r w:rsidR="00216D6F" w:rsidRPr="009132D4">
        <w:rPr>
          <w:color w:val="auto"/>
        </w:rPr>
        <w:t xml:space="preserve"> </w:t>
      </w:r>
      <w:r w:rsidR="00B53A77" w:rsidRPr="009132D4">
        <w:rPr>
          <w:color w:val="auto"/>
        </w:rPr>
        <w:t xml:space="preserve">Si assestano le attese sugli ordini, </w:t>
      </w:r>
      <w:r w:rsidR="00C46BB1" w:rsidRPr="009132D4">
        <w:rPr>
          <w:color w:val="auto"/>
        </w:rPr>
        <w:t xml:space="preserve">con un saldo del </w:t>
      </w:r>
      <w:r w:rsidR="00216D6F" w:rsidRPr="009132D4">
        <w:rPr>
          <w:color w:val="auto"/>
        </w:rPr>
        <w:t>+</w:t>
      </w:r>
      <w:r w:rsidR="00A00C81" w:rsidRPr="009132D4">
        <w:rPr>
          <w:color w:val="auto"/>
        </w:rPr>
        <w:t>4,</w:t>
      </w:r>
      <w:r w:rsidR="00B53A77" w:rsidRPr="009132D4">
        <w:rPr>
          <w:color w:val="auto"/>
        </w:rPr>
        <w:t>4</w:t>
      </w:r>
      <w:r w:rsidR="00216D6F" w:rsidRPr="009132D4">
        <w:rPr>
          <w:color w:val="auto"/>
        </w:rPr>
        <w:t xml:space="preserve">% </w:t>
      </w:r>
      <w:r w:rsidR="00B53A77" w:rsidRPr="009132D4">
        <w:rPr>
          <w:color w:val="auto"/>
        </w:rPr>
        <w:t>i</w:t>
      </w:r>
      <w:r w:rsidR="00216D6F" w:rsidRPr="009132D4">
        <w:rPr>
          <w:color w:val="auto"/>
        </w:rPr>
        <w:t xml:space="preserve">n </w:t>
      </w:r>
      <w:r w:rsidR="00B53A77" w:rsidRPr="009132D4">
        <w:rPr>
          <w:color w:val="auto"/>
        </w:rPr>
        <w:t>calo</w:t>
      </w:r>
      <w:r w:rsidR="00216D6F" w:rsidRPr="009132D4">
        <w:rPr>
          <w:color w:val="auto"/>
        </w:rPr>
        <w:t xml:space="preserve"> </w:t>
      </w:r>
      <w:r w:rsidR="00C46BB1" w:rsidRPr="009132D4">
        <w:rPr>
          <w:color w:val="auto"/>
        </w:rPr>
        <w:t xml:space="preserve">di </w:t>
      </w:r>
      <w:r w:rsidR="00B53A77" w:rsidRPr="009132D4">
        <w:rPr>
          <w:color w:val="auto"/>
        </w:rPr>
        <w:t>oltre 10</w:t>
      </w:r>
      <w:r w:rsidR="00A00C81" w:rsidRPr="009132D4">
        <w:rPr>
          <w:color w:val="auto"/>
        </w:rPr>
        <w:t xml:space="preserve"> punti </w:t>
      </w:r>
      <w:r w:rsidR="00216D6F" w:rsidRPr="009132D4">
        <w:rPr>
          <w:color w:val="auto"/>
        </w:rPr>
        <w:t>pe</w:t>
      </w:r>
      <w:r w:rsidR="00A00C81" w:rsidRPr="009132D4">
        <w:rPr>
          <w:color w:val="auto"/>
        </w:rPr>
        <w:t>r</w:t>
      </w:r>
      <w:r w:rsidR="00216D6F" w:rsidRPr="009132D4">
        <w:rPr>
          <w:color w:val="auto"/>
        </w:rPr>
        <w:t>centuali</w:t>
      </w:r>
      <w:r w:rsidR="00C46BB1" w:rsidRPr="009132D4">
        <w:rPr>
          <w:color w:val="auto"/>
        </w:rPr>
        <w:t xml:space="preserve"> rispetto alla scorsa rilevazione. </w:t>
      </w:r>
    </w:p>
    <w:p w:rsidR="008D2D1D" w:rsidRPr="009D7A66" w:rsidRDefault="00B53A77"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132D4">
        <w:rPr>
          <w:color w:val="auto"/>
        </w:rPr>
        <w:t>Frenano, invece,</w:t>
      </w:r>
      <w:r w:rsidR="00A00C81" w:rsidRPr="009132D4">
        <w:rPr>
          <w:color w:val="auto"/>
        </w:rPr>
        <w:t xml:space="preserve"> le aspettative </w:t>
      </w:r>
      <w:r w:rsidR="00C26D63" w:rsidRPr="009132D4">
        <w:rPr>
          <w:color w:val="auto"/>
        </w:rPr>
        <w:t>sul</w:t>
      </w:r>
      <w:r w:rsidR="00E97C87" w:rsidRPr="009132D4">
        <w:rPr>
          <w:color w:val="auto"/>
        </w:rPr>
        <w:t>l’export, con un saldo ottimisti-pessimisti pari a</w:t>
      </w:r>
      <w:r w:rsidR="00E92759" w:rsidRPr="009132D4">
        <w:rPr>
          <w:color w:val="auto"/>
        </w:rPr>
        <w:t xml:space="preserve"> </w:t>
      </w:r>
      <w:r w:rsidRPr="009132D4">
        <w:rPr>
          <w:color w:val="auto"/>
        </w:rPr>
        <w:t>-2,5</w:t>
      </w:r>
      <w:r w:rsidR="00C26D63" w:rsidRPr="009132D4">
        <w:rPr>
          <w:color w:val="auto"/>
        </w:rPr>
        <w:t>%</w:t>
      </w:r>
      <w:r w:rsidR="00E97C87" w:rsidRPr="009132D4">
        <w:rPr>
          <w:color w:val="auto"/>
        </w:rPr>
        <w:t xml:space="preserve">, </w:t>
      </w:r>
      <w:r w:rsidR="00E92759" w:rsidRPr="009132D4">
        <w:rPr>
          <w:color w:val="auto"/>
        </w:rPr>
        <w:t xml:space="preserve">probabilmente </w:t>
      </w:r>
      <w:r w:rsidRPr="009132D4">
        <w:rPr>
          <w:color w:val="auto"/>
        </w:rPr>
        <w:t xml:space="preserve">a causa del protrarsi dell’incertezza e al </w:t>
      </w:r>
      <w:r w:rsidR="00E92759" w:rsidRPr="009132D4">
        <w:rPr>
          <w:color w:val="auto"/>
        </w:rPr>
        <w:t>rallen</w:t>
      </w:r>
      <w:r w:rsidR="00C26D63" w:rsidRPr="009132D4">
        <w:rPr>
          <w:color w:val="auto"/>
        </w:rPr>
        <w:t xml:space="preserve">tamento </w:t>
      </w:r>
      <w:r w:rsidRPr="009132D4">
        <w:rPr>
          <w:color w:val="auto"/>
        </w:rPr>
        <w:t>dell’economia globale</w:t>
      </w:r>
      <w:r w:rsidR="00E97C87" w:rsidRPr="009132D4">
        <w:rPr>
          <w:color w:val="auto"/>
        </w:rPr>
        <w:t xml:space="preserve">. </w:t>
      </w:r>
      <w:r w:rsidR="00751C45" w:rsidRPr="009132D4">
        <w:rPr>
          <w:color w:val="auto"/>
        </w:rPr>
        <w:t>Buono il livello degli</w:t>
      </w:r>
      <w:r w:rsidR="00216D6F" w:rsidRPr="009132D4">
        <w:rPr>
          <w:color w:val="auto"/>
        </w:rPr>
        <w:t xml:space="preserve"> investimenti, che interessano oggi il </w:t>
      </w:r>
      <w:r w:rsidRPr="009132D4">
        <w:rPr>
          <w:color w:val="auto"/>
        </w:rPr>
        <w:t>27</w:t>
      </w:r>
      <w:r w:rsidR="00216D6F" w:rsidRPr="009132D4">
        <w:rPr>
          <w:color w:val="auto"/>
        </w:rPr>
        <w:t xml:space="preserve">% </w:t>
      </w:r>
      <w:r w:rsidR="008E0CAE" w:rsidRPr="009132D4">
        <w:rPr>
          <w:color w:val="auto"/>
        </w:rPr>
        <w:t xml:space="preserve">delle rispondenti </w:t>
      </w:r>
      <w:r w:rsidR="00216D6F" w:rsidRPr="009132D4">
        <w:rPr>
          <w:color w:val="auto"/>
        </w:rPr>
        <w:t xml:space="preserve">(era il </w:t>
      </w:r>
      <w:r w:rsidR="00751C45" w:rsidRPr="009132D4">
        <w:rPr>
          <w:color w:val="auto"/>
        </w:rPr>
        <w:t>2</w:t>
      </w:r>
      <w:r w:rsidRPr="009132D4">
        <w:rPr>
          <w:color w:val="auto"/>
        </w:rPr>
        <w:t>8</w:t>
      </w:r>
      <w:r w:rsidR="00751C45" w:rsidRPr="009132D4">
        <w:rPr>
          <w:color w:val="auto"/>
        </w:rPr>
        <w:t>,</w:t>
      </w:r>
      <w:r w:rsidRPr="009132D4">
        <w:rPr>
          <w:color w:val="auto"/>
        </w:rPr>
        <w:t>4</w:t>
      </w:r>
      <w:r w:rsidR="00E83615" w:rsidRPr="009132D4">
        <w:rPr>
          <w:color w:val="auto"/>
        </w:rPr>
        <w:t>%</w:t>
      </w:r>
      <w:r w:rsidR="00751C45" w:rsidRPr="009132D4">
        <w:rPr>
          <w:color w:val="auto"/>
        </w:rPr>
        <w:t xml:space="preserve"> a </w:t>
      </w:r>
      <w:r w:rsidRPr="009132D4">
        <w:rPr>
          <w:color w:val="auto"/>
        </w:rPr>
        <w:t>marzo</w:t>
      </w:r>
      <w:r w:rsidR="00216D6F" w:rsidRPr="009132D4">
        <w:rPr>
          <w:color w:val="auto"/>
        </w:rPr>
        <w:t>)</w:t>
      </w:r>
      <w:r w:rsidR="0063100D" w:rsidRPr="009132D4">
        <w:rPr>
          <w:color w:val="auto"/>
        </w:rPr>
        <w:t xml:space="preserve">. </w:t>
      </w:r>
      <w:r w:rsidR="00751C45" w:rsidRPr="009132D4">
        <w:rPr>
          <w:color w:val="auto"/>
        </w:rPr>
        <w:t>Cala ulteriormente il</w:t>
      </w:r>
      <w:r w:rsidR="008D2D1D" w:rsidRPr="009132D4">
        <w:rPr>
          <w:color w:val="auto"/>
        </w:rPr>
        <w:t xml:space="preserve"> </w:t>
      </w:r>
      <w:r w:rsidR="003201D0" w:rsidRPr="009132D4">
        <w:rPr>
          <w:color w:val="auto"/>
        </w:rPr>
        <w:t>ricorso alla cassa integrazione</w:t>
      </w:r>
      <w:r w:rsidR="008D2D1D" w:rsidRPr="009132D4">
        <w:rPr>
          <w:color w:val="auto"/>
        </w:rPr>
        <w:t>, che</w:t>
      </w:r>
      <w:r w:rsidR="003201D0" w:rsidRPr="009132D4">
        <w:rPr>
          <w:color w:val="auto"/>
        </w:rPr>
        <w:t xml:space="preserve"> interessa</w:t>
      </w:r>
      <w:r w:rsidR="00751C45" w:rsidRPr="009132D4">
        <w:rPr>
          <w:color w:val="auto"/>
        </w:rPr>
        <w:t xml:space="preserve"> ora</w:t>
      </w:r>
      <w:r w:rsidR="008D2D1D" w:rsidRPr="009132D4">
        <w:rPr>
          <w:color w:val="auto"/>
        </w:rPr>
        <w:t xml:space="preserve"> </w:t>
      </w:r>
      <w:r w:rsidR="00751C45" w:rsidRPr="009132D4">
        <w:rPr>
          <w:color w:val="auto"/>
        </w:rPr>
        <w:t xml:space="preserve">il </w:t>
      </w:r>
      <w:r w:rsidRPr="009132D4">
        <w:rPr>
          <w:color w:val="auto"/>
        </w:rPr>
        <w:t>5,6</w:t>
      </w:r>
      <w:r w:rsidR="00751C45" w:rsidRPr="009132D4">
        <w:rPr>
          <w:color w:val="auto"/>
        </w:rPr>
        <w:t>% delle imprese</w:t>
      </w:r>
      <w:r w:rsidR="008E0CAE" w:rsidRPr="009132D4">
        <w:rPr>
          <w:color w:val="auto"/>
        </w:rPr>
        <w:t xml:space="preserve">. </w:t>
      </w:r>
      <w:r w:rsidR="008D2D1D" w:rsidRPr="009D7A66">
        <w:rPr>
          <w:color w:val="auto"/>
        </w:rPr>
        <w:t>Stabile</w:t>
      </w:r>
      <w:r w:rsidR="0097768E" w:rsidRPr="009D7A66">
        <w:rPr>
          <w:color w:val="auto"/>
        </w:rPr>
        <w:t xml:space="preserve"> il tasso di utilizzo di impianti e risorse, tornato sui valori medi di lungo periodo</w:t>
      </w:r>
      <w:r w:rsidR="008E0CAE" w:rsidRPr="009D7A66">
        <w:rPr>
          <w:color w:val="auto"/>
        </w:rPr>
        <w:t xml:space="preserve"> (80%)</w:t>
      </w:r>
      <w:r w:rsidR="0097768E" w:rsidRPr="009D7A66">
        <w:rPr>
          <w:color w:val="auto"/>
        </w:rPr>
        <w:t xml:space="preserve">. </w:t>
      </w:r>
      <w:r w:rsidR="008E0CAE" w:rsidRPr="009D7A66">
        <w:rPr>
          <w:color w:val="auto"/>
        </w:rPr>
        <w:t>Resta ampia</w:t>
      </w:r>
      <w:r w:rsidR="008D2D1D" w:rsidRPr="009D7A66">
        <w:rPr>
          <w:color w:val="auto"/>
        </w:rPr>
        <w:t xml:space="preserve"> la forbice tra le imprese medio-grandi (oltre 50 dipendenti)</w:t>
      </w:r>
      <w:r w:rsidR="00F4428D" w:rsidRPr="009D7A66">
        <w:rPr>
          <w:color w:val="auto"/>
        </w:rPr>
        <w:t xml:space="preserve">, </w:t>
      </w:r>
      <w:r w:rsidR="00751C45" w:rsidRPr="009D7A66">
        <w:rPr>
          <w:color w:val="auto"/>
        </w:rPr>
        <w:t>più</w:t>
      </w:r>
      <w:r w:rsidR="00F4428D" w:rsidRPr="009D7A66">
        <w:rPr>
          <w:color w:val="auto"/>
        </w:rPr>
        <w:t xml:space="preserve"> ottimiste </w:t>
      </w:r>
      <w:r w:rsidR="008E0CAE" w:rsidRPr="009D7A66">
        <w:rPr>
          <w:color w:val="auto"/>
        </w:rPr>
        <w:t xml:space="preserve">sui livelli </w:t>
      </w:r>
      <w:r w:rsidR="008E0CAE" w:rsidRPr="009D7A66">
        <w:rPr>
          <w:color w:val="auto"/>
        </w:rPr>
        <w:lastRenderedPageBreak/>
        <w:t xml:space="preserve">produttivi </w:t>
      </w:r>
      <w:r w:rsidR="008D2D1D" w:rsidRPr="009D7A66">
        <w:rPr>
          <w:color w:val="auto"/>
        </w:rPr>
        <w:t>(saldo +</w:t>
      </w:r>
      <w:r w:rsidRPr="009D7A66">
        <w:rPr>
          <w:color w:val="auto"/>
        </w:rPr>
        <w:t>11,5</w:t>
      </w:r>
      <w:r w:rsidR="008E0CAE" w:rsidRPr="009D7A66">
        <w:rPr>
          <w:color w:val="auto"/>
        </w:rPr>
        <w:t>%</w:t>
      </w:r>
      <w:r w:rsidR="008D2D1D" w:rsidRPr="009D7A66">
        <w:rPr>
          <w:color w:val="auto"/>
        </w:rPr>
        <w:t xml:space="preserve">) e </w:t>
      </w:r>
      <w:r w:rsidR="00F4428D" w:rsidRPr="009D7A66">
        <w:rPr>
          <w:color w:val="auto"/>
        </w:rPr>
        <w:t xml:space="preserve">le più piccole (sotto i 50 addetti), che registrano un saldo </w:t>
      </w:r>
      <w:r w:rsidR="00751C45" w:rsidRPr="009D7A66">
        <w:rPr>
          <w:color w:val="auto"/>
        </w:rPr>
        <w:t xml:space="preserve">di </w:t>
      </w:r>
      <w:r w:rsidRPr="009D7A66">
        <w:rPr>
          <w:color w:val="auto"/>
        </w:rPr>
        <w:t>5</w:t>
      </w:r>
      <w:r w:rsidR="00751C45" w:rsidRPr="009D7A66">
        <w:rPr>
          <w:color w:val="auto"/>
        </w:rPr>
        <w:t xml:space="preserve"> punti inferiore (</w:t>
      </w:r>
      <w:r w:rsidR="008E0CAE" w:rsidRPr="009D7A66">
        <w:rPr>
          <w:color w:val="auto"/>
        </w:rPr>
        <w:t>+</w:t>
      </w:r>
      <w:r w:rsidRPr="009D7A66">
        <w:rPr>
          <w:color w:val="auto"/>
        </w:rPr>
        <w:t>6,3</w:t>
      </w:r>
      <w:r w:rsidR="00F4428D" w:rsidRPr="009D7A66">
        <w:rPr>
          <w:color w:val="auto"/>
        </w:rPr>
        <w:t>%</w:t>
      </w:r>
      <w:r w:rsidR="00751C45" w:rsidRPr="009D7A66">
        <w:rPr>
          <w:color w:val="auto"/>
        </w:rPr>
        <w:t>)</w:t>
      </w:r>
      <w:r w:rsidR="00F4428D" w:rsidRPr="009D7A66">
        <w:rPr>
          <w:color w:val="auto"/>
        </w:rPr>
        <w:t>.</w:t>
      </w:r>
    </w:p>
    <w:p w:rsidR="009D7A66" w:rsidRPr="009D7A66" w:rsidRDefault="00751C45"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Si assestano</w:t>
      </w:r>
      <w:r w:rsidR="00B53A77" w:rsidRPr="009D7A66">
        <w:rPr>
          <w:color w:val="auto"/>
        </w:rPr>
        <w:t xml:space="preserve"> ancora</w:t>
      </w:r>
      <w:r w:rsidR="008E0CAE" w:rsidRPr="009D7A66">
        <w:rPr>
          <w:color w:val="auto"/>
        </w:rPr>
        <w:t xml:space="preserve"> gli aumenti dei prezzi</w:t>
      </w:r>
      <w:r w:rsidRPr="009D7A66">
        <w:rPr>
          <w:color w:val="auto"/>
        </w:rPr>
        <w:t>, rispetto al 2022</w:t>
      </w:r>
      <w:r w:rsidR="008E0CAE" w:rsidRPr="009D7A66">
        <w:rPr>
          <w:color w:val="auto"/>
        </w:rPr>
        <w:t>:</w:t>
      </w:r>
      <w:r w:rsidR="009D7A66" w:rsidRPr="009D7A66">
        <w:rPr>
          <w:color w:val="auto"/>
        </w:rPr>
        <w:t xml:space="preserve"> il saldo tra chi prevede un aumento e chi una diminuzione dei costi è pari al +9,0% per i prezzi delle materie prime (era il 25,1% a marzo), a +1,1% per l’energia (era il 0,6%) e +19,7% per logistica e trasporti (era il 28,0%).</w:t>
      </w:r>
    </w:p>
    <w:p w:rsidR="009D7A66" w:rsidRDefault="009D7A66" w:rsidP="00E83615">
      <w:pPr>
        <w:rPr>
          <w:rFonts w:ascii="Roboto" w:hAnsi="Roboto"/>
          <w:color w:val="auto"/>
          <w:highlight w:val="yellow"/>
        </w:rPr>
      </w:pPr>
    </w:p>
    <w:p w:rsidR="00505FDE" w:rsidRPr="009D7A66" w:rsidRDefault="004E45D2"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A livello territoriale,</w:t>
      </w:r>
      <w:r w:rsidR="000E373E" w:rsidRPr="009D7A66">
        <w:rPr>
          <w:color w:val="auto"/>
        </w:rPr>
        <w:t xml:space="preserve"> si osserva</w:t>
      </w:r>
      <w:r w:rsidR="00751C45" w:rsidRPr="009D7A66">
        <w:rPr>
          <w:color w:val="auto"/>
        </w:rPr>
        <w:t xml:space="preserve"> un miglioramento superiore alla media regionale per </w:t>
      </w:r>
      <w:r w:rsidR="00505FDE" w:rsidRPr="009D7A66">
        <w:rPr>
          <w:color w:val="auto"/>
        </w:rPr>
        <w:t xml:space="preserve">Cuneo, Verbania, Torino e Canavese, con saldi sulle previsioni di produzione rispettivamente del +16,7%, </w:t>
      </w:r>
      <w:r w:rsidR="009A7739" w:rsidRPr="009D7A66">
        <w:rPr>
          <w:color w:val="auto"/>
        </w:rPr>
        <w:t>+</w:t>
      </w:r>
      <w:r w:rsidR="00505FDE" w:rsidRPr="009D7A66">
        <w:rPr>
          <w:color w:val="auto"/>
        </w:rPr>
        <w:t xml:space="preserve">15,6%, </w:t>
      </w:r>
      <w:r w:rsidR="009A7739" w:rsidRPr="009D7A66">
        <w:rPr>
          <w:color w:val="auto"/>
        </w:rPr>
        <w:t>+</w:t>
      </w:r>
      <w:r w:rsidR="00505FDE" w:rsidRPr="009D7A66">
        <w:rPr>
          <w:color w:val="auto"/>
        </w:rPr>
        <w:t xml:space="preserve">12,8% e </w:t>
      </w:r>
      <w:r w:rsidR="009A7739" w:rsidRPr="009D7A66">
        <w:rPr>
          <w:color w:val="auto"/>
        </w:rPr>
        <w:t>+</w:t>
      </w:r>
      <w:r w:rsidR="00505FDE" w:rsidRPr="009D7A66">
        <w:rPr>
          <w:color w:val="auto"/>
        </w:rPr>
        <w:t>10,1%. Seguono</w:t>
      </w:r>
      <w:r w:rsidR="009A7739" w:rsidRPr="009D7A66">
        <w:rPr>
          <w:color w:val="auto"/>
        </w:rPr>
        <w:t xml:space="preserve"> Novara, Alessandria e Asti, che rallentano ma restano ottimiste, con saldi rispettivamente del +7,4%, +6,5% e +2,6%. Saldi negativi, invece, per Vercelli e Biella (rispettivamente -15,2% e -4,7%).</w:t>
      </w:r>
    </w:p>
    <w:p w:rsidR="00505FDE" w:rsidRPr="009D7A66" w:rsidRDefault="00505FDE"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p>
    <w:p w:rsidR="00DA5377" w:rsidRPr="009D7A66" w:rsidRDefault="0097768E"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 xml:space="preserve">Nel </w:t>
      </w:r>
      <w:r w:rsidRPr="009D7A66">
        <w:rPr>
          <w:b/>
          <w:color w:val="auto"/>
        </w:rPr>
        <w:t>manifatturiero</w:t>
      </w:r>
      <w:r w:rsidRPr="009D7A66">
        <w:rPr>
          <w:color w:val="auto"/>
        </w:rPr>
        <w:t>,</w:t>
      </w:r>
      <w:r w:rsidR="0083154B" w:rsidRPr="009D7A66">
        <w:rPr>
          <w:color w:val="auto"/>
        </w:rPr>
        <w:t xml:space="preserve"> si</w:t>
      </w:r>
      <w:r w:rsidR="00DA5377" w:rsidRPr="009D7A66">
        <w:rPr>
          <w:color w:val="auto"/>
        </w:rPr>
        <w:t xml:space="preserve"> registra un </w:t>
      </w:r>
      <w:r w:rsidR="007F02E2" w:rsidRPr="009D7A66">
        <w:rPr>
          <w:color w:val="auto"/>
        </w:rPr>
        <w:t>raffreddamento</w:t>
      </w:r>
      <w:r w:rsidR="00DA5377" w:rsidRPr="009D7A66">
        <w:rPr>
          <w:color w:val="auto"/>
        </w:rPr>
        <w:t xml:space="preserve"> delle attese, rispetto a </w:t>
      </w:r>
      <w:r w:rsidR="007F02E2" w:rsidRPr="009D7A66">
        <w:rPr>
          <w:color w:val="auto"/>
        </w:rPr>
        <w:t>marzo</w:t>
      </w:r>
      <w:r w:rsidR="00DA5377" w:rsidRPr="009D7A66">
        <w:rPr>
          <w:color w:val="auto"/>
        </w:rPr>
        <w:t xml:space="preserve">, con saldi che passano da </w:t>
      </w:r>
      <w:r w:rsidR="007F02E2" w:rsidRPr="009D7A66">
        <w:rPr>
          <w:color w:val="auto"/>
        </w:rPr>
        <w:t>+15,5</w:t>
      </w:r>
      <w:r w:rsidR="00DA5377" w:rsidRPr="009D7A66">
        <w:rPr>
          <w:color w:val="auto"/>
        </w:rPr>
        <w:t>% a +</w:t>
      </w:r>
      <w:r w:rsidR="007F02E2" w:rsidRPr="009D7A66">
        <w:rPr>
          <w:color w:val="auto"/>
        </w:rPr>
        <w:t>2,2</w:t>
      </w:r>
      <w:r w:rsidR="00DA5377" w:rsidRPr="009D7A66">
        <w:rPr>
          <w:color w:val="auto"/>
        </w:rPr>
        <w:t xml:space="preserve">% per la produzione. </w:t>
      </w:r>
    </w:p>
    <w:p w:rsidR="007F02E2" w:rsidRPr="009D7A66" w:rsidRDefault="00DA5377"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I</w:t>
      </w:r>
      <w:r w:rsidR="007F02E2" w:rsidRPr="009D7A66">
        <w:rPr>
          <w:color w:val="auto"/>
        </w:rPr>
        <w:t>nversione di tendenza per i nuovi</w:t>
      </w:r>
      <w:r w:rsidRPr="009D7A66">
        <w:rPr>
          <w:color w:val="auto"/>
        </w:rPr>
        <w:t xml:space="preserve"> </w:t>
      </w:r>
      <w:r w:rsidR="005B76FF" w:rsidRPr="009D7A66">
        <w:rPr>
          <w:color w:val="auto"/>
        </w:rPr>
        <w:t>ordin</w:t>
      </w:r>
      <w:r w:rsidR="007F02E2" w:rsidRPr="009D7A66">
        <w:rPr>
          <w:color w:val="auto"/>
        </w:rPr>
        <w:t>i, con saldo ottimisti-pessimisti che torna negativo dopo parecchi trimestri, passando da +12,6% a -1,4%.</w:t>
      </w:r>
    </w:p>
    <w:p w:rsidR="00DA5377" w:rsidRPr="009D7A66" w:rsidRDefault="007F02E2"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 xml:space="preserve">Positive, per contro, le attese sull’occupazione, co saldo </w:t>
      </w:r>
      <w:r w:rsidR="008F0CDE" w:rsidRPr="009D7A66">
        <w:rPr>
          <w:color w:val="auto"/>
        </w:rPr>
        <w:t>pari a</w:t>
      </w:r>
      <w:r w:rsidR="005B76FF" w:rsidRPr="009D7A66">
        <w:rPr>
          <w:color w:val="auto"/>
        </w:rPr>
        <w:t xml:space="preserve"> </w:t>
      </w:r>
      <w:r w:rsidR="00DA5377" w:rsidRPr="009D7A66">
        <w:rPr>
          <w:color w:val="auto"/>
        </w:rPr>
        <w:t>+1</w:t>
      </w:r>
      <w:r w:rsidRPr="009D7A66">
        <w:rPr>
          <w:color w:val="auto"/>
        </w:rPr>
        <w:t>0</w:t>
      </w:r>
      <w:r w:rsidR="00DA5377" w:rsidRPr="009D7A66">
        <w:rPr>
          <w:color w:val="auto"/>
        </w:rPr>
        <w:t>,6</w:t>
      </w:r>
      <w:r w:rsidR="005B76FF" w:rsidRPr="009D7A66">
        <w:rPr>
          <w:color w:val="auto"/>
        </w:rPr>
        <w:t>%</w:t>
      </w:r>
      <w:r w:rsidRPr="009D7A66">
        <w:rPr>
          <w:color w:val="auto"/>
        </w:rPr>
        <w:t>, da +1</w:t>
      </w:r>
      <w:r w:rsidR="00DA5377" w:rsidRPr="009D7A66">
        <w:rPr>
          <w:color w:val="auto"/>
        </w:rPr>
        <w:t>4,9</w:t>
      </w:r>
      <w:r w:rsidR="0083154B" w:rsidRPr="009D7A66">
        <w:rPr>
          <w:color w:val="auto"/>
        </w:rPr>
        <w:t xml:space="preserve">% </w:t>
      </w:r>
      <w:r w:rsidRPr="009D7A66">
        <w:rPr>
          <w:color w:val="auto"/>
        </w:rPr>
        <w:t>di marzo. Negativo anche i</w:t>
      </w:r>
      <w:r w:rsidR="00DA5377" w:rsidRPr="009D7A66">
        <w:rPr>
          <w:color w:val="auto"/>
        </w:rPr>
        <w:t>l saldo dell’export</w:t>
      </w:r>
      <w:r w:rsidRPr="009D7A66">
        <w:rPr>
          <w:color w:val="auto"/>
        </w:rPr>
        <w:t xml:space="preserve">, che passa da +4,9% </w:t>
      </w:r>
      <w:r w:rsidR="00B946D0" w:rsidRPr="009D7A66">
        <w:rPr>
          <w:color w:val="auto"/>
        </w:rPr>
        <w:t>a</w:t>
      </w:r>
      <w:r w:rsidR="00DA5377" w:rsidRPr="009D7A66">
        <w:rPr>
          <w:color w:val="auto"/>
        </w:rPr>
        <w:t xml:space="preserve"> -2,</w:t>
      </w:r>
      <w:r w:rsidRPr="009D7A66">
        <w:rPr>
          <w:color w:val="auto"/>
        </w:rPr>
        <w:t>7%.</w:t>
      </w:r>
    </w:p>
    <w:p w:rsidR="00042110" w:rsidRPr="009D7A66" w:rsidRDefault="0079345B"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Bene</w:t>
      </w:r>
      <w:r w:rsidR="0095762B" w:rsidRPr="009D7A66">
        <w:rPr>
          <w:color w:val="auto"/>
        </w:rPr>
        <w:t xml:space="preserve"> </w:t>
      </w:r>
      <w:r w:rsidR="00042110" w:rsidRPr="009D7A66">
        <w:rPr>
          <w:color w:val="auto"/>
        </w:rPr>
        <w:t xml:space="preserve">gli investimenti, </w:t>
      </w:r>
      <w:r w:rsidR="0095762B" w:rsidRPr="009D7A66">
        <w:rPr>
          <w:color w:val="auto"/>
        </w:rPr>
        <w:t xml:space="preserve">che interessano il </w:t>
      </w:r>
      <w:r w:rsidR="007F02E2" w:rsidRPr="009D7A66">
        <w:rPr>
          <w:color w:val="auto"/>
        </w:rPr>
        <w:t>28,3</w:t>
      </w:r>
      <w:r w:rsidR="00AF50E1" w:rsidRPr="009D7A66">
        <w:rPr>
          <w:color w:val="auto"/>
        </w:rPr>
        <w:t>% delle aziende</w:t>
      </w:r>
      <w:r w:rsidRPr="009D7A66">
        <w:rPr>
          <w:color w:val="auto"/>
        </w:rPr>
        <w:t xml:space="preserve">, in </w:t>
      </w:r>
      <w:r w:rsidR="007F02E2" w:rsidRPr="009D7A66">
        <w:rPr>
          <w:color w:val="auto"/>
        </w:rPr>
        <w:t>leggero assestamento rispetto al 29,5%</w:t>
      </w:r>
      <w:r w:rsidRPr="009D7A66">
        <w:rPr>
          <w:color w:val="auto"/>
        </w:rPr>
        <w:t xml:space="preserve"> di </w:t>
      </w:r>
      <w:r w:rsidR="007F02E2" w:rsidRPr="009D7A66">
        <w:rPr>
          <w:color w:val="auto"/>
        </w:rPr>
        <w:t>marzo</w:t>
      </w:r>
      <w:r w:rsidRPr="009D7A66">
        <w:rPr>
          <w:color w:val="auto"/>
        </w:rPr>
        <w:t>.</w:t>
      </w:r>
      <w:r w:rsidR="00AF50E1" w:rsidRPr="009D7A66">
        <w:rPr>
          <w:color w:val="auto"/>
        </w:rPr>
        <w:t xml:space="preserve"> </w:t>
      </w:r>
      <w:r w:rsidRPr="009D7A66">
        <w:rPr>
          <w:color w:val="auto"/>
        </w:rPr>
        <w:t xml:space="preserve">Stabili </w:t>
      </w:r>
      <w:r w:rsidR="00042110" w:rsidRPr="009D7A66">
        <w:rPr>
          <w:color w:val="auto"/>
        </w:rPr>
        <w:t>il tasso di utilizzo delle risorse (</w:t>
      </w:r>
      <w:r w:rsidRPr="009D7A66">
        <w:rPr>
          <w:color w:val="auto"/>
        </w:rPr>
        <w:t>78</w:t>
      </w:r>
      <w:r w:rsidR="00042110" w:rsidRPr="009D7A66">
        <w:rPr>
          <w:color w:val="auto"/>
        </w:rPr>
        <w:t>%)</w:t>
      </w:r>
      <w:r w:rsidR="00B946D0" w:rsidRPr="009D7A66">
        <w:rPr>
          <w:color w:val="auto"/>
        </w:rPr>
        <w:t xml:space="preserve">, mentre </w:t>
      </w:r>
      <w:r w:rsidR="007F02E2" w:rsidRPr="009D7A66">
        <w:rPr>
          <w:color w:val="auto"/>
        </w:rPr>
        <w:t>resta basso</w:t>
      </w:r>
      <w:r w:rsidR="00B946D0" w:rsidRPr="009D7A66">
        <w:rPr>
          <w:color w:val="auto"/>
        </w:rPr>
        <w:t xml:space="preserve"> i</w:t>
      </w:r>
      <w:r w:rsidR="00042110" w:rsidRPr="009D7A66">
        <w:rPr>
          <w:color w:val="auto"/>
        </w:rPr>
        <w:t xml:space="preserve">l ricorso alla CIG, che </w:t>
      </w:r>
      <w:r w:rsidR="00AF50E1" w:rsidRPr="009D7A66">
        <w:rPr>
          <w:color w:val="auto"/>
        </w:rPr>
        <w:t xml:space="preserve">riguarda oggi il </w:t>
      </w:r>
      <w:r w:rsidR="00B946D0" w:rsidRPr="009D7A66">
        <w:rPr>
          <w:color w:val="auto"/>
        </w:rPr>
        <w:t>7,</w:t>
      </w:r>
      <w:r w:rsidR="007F02E2" w:rsidRPr="009D7A66">
        <w:rPr>
          <w:color w:val="auto"/>
        </w:rPr>
        <w:t>9</w:t>
      </w:r>
      <w:r w:rsidR="00F364E0" w:rsidRPr="009D7A66">
        <w:rPr>
          <w:color w:val="auto"/>
        </w:rPr>
        <w:t>%</w:t>
      </w:r>
      <w:r w:rsidR="00AF50E1" w:rsidRPr="009D7A66">
        <w:rPr>
          <w:color w:val="auto"/>
        </w:rPr>
        <w:t xml:space="preserve"> delle imprese</w:t>
      </w:r>
      <w:r w:rsidR="00042110" w:rsidRPr="009D7A66">
        <w:rPr>
          <w:color w:val="auto"/>
        </w:rPr>
        <w:t>.</w:t>
      </w:r>
    </w:p>
    <w:p w:rsidR="009132D4" w:rsidRPr="009132D4" w:rsidRDefault="003201D0"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132D4">
        <w:rPr>
          <w:color w:val="auto"/>
        </w:rPr>
        <w:t xml:space="preserve">A </w:t>
      </w:r>
      <w:r w:rsidRPr="009D7A66">
        <w:rPr>
          <w:b/>
          <w:color w:val="auto"/>
        </w:rPr>
        <w:t>livello settoriale</w:t>
      </w:r>
      <w:r w:rsidRPr="009132D4">
        <w:rPr>
          <w:color w:val="auto"/>
        </w:rPr>
        <w:t xml:space="preserve">, </w:t>
      </w:r>
      <w:r w:rsidR="007F02E2" w:rsidRPr="009132D4">
        <w:rPr>
          <w:color w:val="auto"/>
        </w:rPr>
        <w:t xml:space="preserve">restano positive le attese del comparto </w:t>
      </w:r>
      <w:r w:rsidR="007F02E2" w:rsidRPr="009D7A66">
        <w:rPr>
          <w:color w:val="auto"/>
        </w:rPr>
        <w:t>alimentare</w:t>
      </w:r>
      <w:r w:rsidR="007F02E2" w:rsidRPr="009132D4">
        <w:rPr>
          <w:color w:val="auto"/>
        </w:rPr>
        <w:t xml:space="preserve"> (+21,4% il saldo ottimisti – pessimisti), e dell’</w:t>
      </w:r>
      <w:r w:rsidR="007F02E2" w:rsidRPr="009D7A66">
        <w:rPr>
          <w:color w:val="auto"/>
        </w:rPr>
        <w:t xml:space="preserve">edilizia e impiantisti </w:t>
      </w:r>
      <w:r w:rsidR="007F02E2" w:rsidRPr="009132D4">
        <w:rPr>
          <w:color w:val="auto"/>
        </w:rPr>
        <w:t>(+11,4%)</w:t>
      </w:r>
      <w:r w:rsidR="009132D4" w:rsidRPr="009132D4">
        <w:rPr>
          <w:color w:val="auto"/>
        </w:rPr>
        <w:t xml:space="preserve">. Le </w:t>
      </w:r>
      <w:r w:rsidR="00FD2E4E" w:rsidRPr="009132D4">
        <w:rPr>
          <w:color w:val="auto"/>
        </w:rPr>
        <w:t xml:space="preserve">attese della </w:t>
      </w:r>
      <w:r w:rsidR="009132D4" w:rsidRPr="009D7A66">
        <w:rPr>
          <w:color w:val="auto"/>
        </w:rPr>
        <w:t>me</w:t>
      </w:r>
      <w:r w:rsidRPr="009D7A66">
        <w:rPr>
          <w:color w:val="auto"/>
        </w:rPr>
        <w:t>talmeccanica</w:t>
      </w:r>
      <w:r w:rsidR="00CC57A9" w:rsidRPr="009D7A66">
        <w:rPr>
          <w:color w:val="auto"/>
        </w:rPr>
        <w:t xml:space="preserve"> </w:t>
      </w:r>
      <w:r w:rsidR="009132D4">
        <w:rPr>
          <w:color w:val="auto"/>
        </w:rPr>
        <w:t xml:space="preserve">registrano un deciso rallentamento, pur restando positive, con saldo ottimisti pessimisti che passa da +15,7% di marzo a +3,6%. A calare </w:t>
      </w:r>
      <w:r w:rsidR="00191157">
        <w:rPr>
          <w:color w:val="auto"/>
        </w:rPr>
        <w:t xml:space="preserve">sono soprattutto il comparto dei </w:t>
      </w:r>
      <w:r w:rsidR="00191157" w:rsidRPr="009D7A66">
        <w:rPr>
          <w:color w:val="auto"/>
        </w:rPr>
        <w:t>prodotti in metallo</w:t>
      </w:r>
      <w:r w:rsidR="00191157">
        <w:rPr>
          <w:color w:val="auto"/>
        </w:rPr>
        <w:t xml:space="preserve"> (saldo -5,1%) e quello dell’</w:t>
      </w:r>
      <w:r w:rsidR="00191157" w:rsidRPr="009D7A66">
        <w:rPr>
          <w:color w:val="auto"/>
        </w:rPr>
        <w:t>elettronica</w:t>
      </w:r>
      <w:r w:rsidR="00191157">
        <w:rPr>
          <w:color w:val="auto"/>
        </w:rPr>
        <w:t xml:space="preserve"> (-3,4%): resta positivo l’andamento dei </w:t>
      </w:r>
      <w:r w:rsidR="00191157" w:rsidRPr="009D7A66">
        <w:rPr>
          <w:color w:val="auto"/>
        </w:rPr>
        <w:t>macchinari</w:t>
      </w:r>
      <w:r w:rsidR="00191157">
        <w:rPr>
          <w:color w:val="auto"/>
        </w:rPr>
        <w:t xml:space="preserve"> (+8,2%) e </w:t>
      </w:r>
      <w:proofErr w:type="spellStart"/>
      <w:r w:rsidR="00191157">
        <w:rPr>
          <w:color w:val="auto"/>
        </w:rPr>
        <w:t>dell’</w:t>
      </w:r>
      <w:r w:rsidR="00191157" w:rsidRPr="009D7A66">
        <w:rPr>
          <w:color w:val="auto"/>
        </w:rPr>
        <w:t>automotive</w:t>
      </w:r>
      <w:proofErr w:type="spellEnd"/>
      <w:r w:rsidR="00191157">
        <w:rPr>
          <w:color w:val="auto"/>
        </w:rPr>
        <w:t xml:space="preserve">. Tra gli altri settori manifatturieri cala il </w:t>
      </w:r>
      <w:r w:rsidR="00191157" w:rsidRPr="009D7A66">
        <w:rPr>
          <w:color w:val="auto"/>
        </w:rPr>
        <w:t>tessile</w:t>
      </w:r>
      <w:r w:rsidR="00191157">
        <w:rPr>
          <w:color w:val="auto"/>
        </w:rPr>
        <w:t xml:space="preserve"> (-17,6%) la </w:t>
      </w:r>
      <w:r w:rsidR="00191157" w:rsidRPr="009D7A66">
        <w:rPr>
          <w:color w:val="auto"/>
        </w:rPr>
        <w:t xml:space="preserve">carta-grafica </w:t>
      </w:r>
      <w:r w:rsidR="00191157">
        <w:rPr>
          <w:color w:val="auto"/>
        </w:rPr>
        <w:t xml:space="preserve">(-13,6%), il </w:t>
      </w:r>
      <w:r w:rsidR="00191157" w:rsidRPr="009D7A66">
        <w:rPr>
          <w:color w:val="auto"/>
        </w:rPr>
        <w:t>legno</w:t>
      </w:r>
      <w:r w:rsidR="00191157">
        <w:rPr>
          <w:color w:val="auto"/>
        </w:rPr>
        <w:t xml:space="preserve"> e le manifatture varie (entrambi 0,0%)</w:t>
      </w:r>
    </w:p>
    <w:p w:rsidR="00B946D0" w:rsidRPr="009D7A66" w:rsidRDefault="00B946D0"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p>
    <w:p w:rsidR="008931C7" w:rsidRPr="009D7A66" w:rsidRDefault="0097768E"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 xml:space="preserve">Nei </w:t>
      </w:r>
      <w:r w:rsidRPr="009D7A66">
        <w:rPr>
          <w:b/>
          <w:color w:val="auto"/>
        </w:rPr>
        <w:t>servizi</w:t>
      </w:r>
      <w:r w:rsidRPr="009D7A66">
        <w:rPr>
          <w:color w:val="auto"/>
        </w:rPr>
        <w:t xml:space="preserve"> il clima di fiducia </w:t>
      </w:r>
      <w:r w:rsidR="00B0759C" w:rsidRPr="009D7A66">
        <w:rPr>
          <w:color w:val="auto"/>
        </w:rPr>
        <w:t>resta stabilmente positivo</w:t>
      </w:r>
      <w:r w:rsidR="00BD2286" w:rsidRPr="009D7A66">
        <w:rPr>
          <w:color w:val="auto"/>
        </w:rPr>
        <w:t xml:space="preserve"> rispetto a </w:t>
      </w:r>
      <w:r w:rsidR="00191157" w:rsidRPr="009D7A66">
        <w:rPr>
          <w:color w:val="auto"/>
        </w:rPr>
        <w:t>marzo</w:t>
      </w:r>
      <w:r w:rsidRPr="009D7A66">
        <w:rPr>
          <w:color w:val="auto"/>
        </w:rPr>
        <w:t>. I</w:t>
      </w:r>
      <w:r w:rsidR="008931C7" w:rsidRPr="009D7A66">
        <w:rPr>
          <w:color w:val="auto"/>
        </w:rPr>
        <w:t>l</w:t>
      </w:r>
      <w:r w:rsidRPr="009D7A66">
        <w:rPr>
          <w:color w:val="auto"/>
        </w:rPr>
        <w:t xml:space="preserve"> saldo relativo ai livelli di attività è </w:t>
      </w:r>
      <w:r w:rsidR="00C40475" w:rsidRPr="009D7A66">
        <w:rPr>
          <w:color w:val="auto"/>
        </w:rPr>
        <w:t xml:space="preserve">pari al </w:t>
      </w:r>
      <w:r w:rsidR="00191157" w:rsidRPr="009D7A66">
        <w:rPr>
          <w:color w:val="auto"/>
        </w:rPr>
        <w:t>21,4</w:t>
      </w:r>
      <w:r w:rsidR="00C40475" w:rsidRPr="009D7A66">
        <w:rPr>
          <w:color w:val="auto"/>
        </w:rPr>
        <w:t>%</w:t>
      </w:r>
      <w:r w:rsidR="001C25FD" w:rsidRPr="009D7A66">
        <w:rPr>
          <w:color w:val="auto"/>
        </w:rPr>
        <w:t xml:space="preserve"> (era </w:t>
      </w:r>
      <w:r w:rsidR="00191157" w:rsidRPr="009D7A66">
        <w:rPr>
          <w:color w:val="auto"/>
        </w:rPr>
        <w:t>15,8</w:t>
      </w:r>
      <w:r w:rsidR="001C25FD" w:rsidRPr="009D7A66">
        <w:rPr>
          <w:color w:val="auto"/>
        </w:rPr>
        <w:t>% la scorsa rilevazione)</w:t>
      </w:r>
      <w:r w:rsidR="00C40475" w:rsidRPr="009D7A66">
        <w:rPr>
          <w:color w:val="auto"/>
        </w:rPr>
        <w:t xml:space="preserve">, </w:t>
      </w:r>
      <w:r w:rsidR="001C25FD" w:rsidRPr="009D7A66">
        <w:rPr>
          <w:color w:val="auto"/>
        </w:rPr>
        <w:t>quello</w:t>
      </w:r>
      <w:r w:rsidR="008931C7" w:rsidRPr="009D7A66">
        <w:rPr>
          <w:color w:val="auto"/>
        </w:rPr>
        <w:t xml:space="preserve"> relativo agli ordinativi </w:t>
      </w:r>
      <w:r w:rsidR="001C25FD" w:rsidRPr="009D7A66">
        <w:rPr>
          <w:color w:val="auto"/>
        </w:rPr>
        <w:t xml:space="preserve">è </w:t>
      </w:r>
      <w:r w:rsidR="00096B3B" w:rsidRPr="009D7A66">
        <w:rPr>
          <w:color w:val="auto"/>
        </w:rPr>
        <w:t>pari</w:t>
      </w:r>
      <w:r w:rsidR="001C25FD" w:rsidRPr="009D7A66">
        <w:rPr>
          <w:color w:val="auto"/>
        </w:rPr>
        <w:t xml:space="preserve"> a +</w:t>
      </w:r>
      <w:r w:rsidR="00191157" w:rsidRPr="009D7A66">
        <w:rPr>
          <w:color w:val="auto"/>
        </w:rPr>
        <w:t>18,4</w:t>
      </w:r>
      <w:r w:rsidR="001C25FD" w:rsidRPr="009D7A66">
        <w:rPr>
          <w:color w:val="auto"/>
        </w:rPr>
        <w:t>%</w:t>
      </w:r>
      <w:r w:rsidR="00096B3B" w:rsidRPr="009D7A66">
        <w:rPr>
          <w:color w:val="auto"/>
        </w:rPr>
        <w:t xml:space="preserve"> (da +</w:t>
      </w:r>
      <w:r w:rsidR="00191157" w:rsidRPr="009D7A66">
        <w:rPr>
          <w:color w:val="auto"/>
        </w:rPr>
        <w:t>20,5</w:t>
      </w:r>
      <w:r w:rsidR="00096B3B" w:rsidRPr="009D7A66">
        <w:rPr>
          <w:color w:val="auto"/>
        </w:rPr>
        <w:t>%)</w:t>
      </w:r>
      <w:r w:rsidR="001C25FD" w:rsidRPr="009D7A66">
        <w:rPr>
          <w:color w:val="auto"/>
        </w:rPr>
        <w:t>, quello sull’occupazione</w:t>
      </w:r>
      <w:r w:rsidR="008931C7" w:rsidRPr="009D7A66">
        <w:rPr>
          <w:color w:val="auto"/>
        </w:rPr>
        <w:t xml:space="preserve"> </w:t>
      </w:r>
      <w:r w:rsidR="001C25FD" w:rsidRPr="009D7A66">
        <w:rPr>
          <w:color w:val="auto"/>
        </w:rPr>
        <w:t>è pari +</w:t>
      </w:r>
      <w:r w:rsidR="00191157" w:rsidRPr="009D7A66">
        <w:rPr>
          <w:color w:val="auto"/>
        </w:rPr>
        <w:t>21,2</w:t>
      </w:r>
      <w:r w:rsidR="001C25FD" w:rsidRPr="009D7A66">
        <w:rPr>
          <w:color w:val="auto"/>
        </w:rPr>
        <w:t>%</w:t>
      </w:r>
      <w:r w:rsidR="00B0759C" w:rsidRPr="009D7A66">
        <w:rPr>
          <w:color w:val="auto"/>
        </w:rPr>
        <w:t xml:space="preserve"> (era </w:t>
      </w:r>
      <w:r w:rsidR="00191157" w:rsidRPr="009D7A66">
        <w:rPr>
          <w:color w:val="auto"/>
        </w:rPr>
        <w:t>20,8</w:t>
      </w:r>
      <w:r w:rsidR="00B0759C" w:rsidRPr="009D7A66">
        <w:rPr>
          <w:color w:val="auto"/>
        </w:rPr>
        <w:t>%)</w:t>
      </w:r>
      <w:r w:rsidR="008931C7" w:rsidRPr="009D7A66">
        <w:rPr>
          <w:color w:val="auto"/>
        </w:rPr>
        <w:t xml:space="preserve">. </w:t>
      </w:r>
      <w:r w:rsidR="00096B3B" w:rsidRPr="009D7A66">
        <w:rPr>
          <w:color w:val="auto"/>
        </w:rPr>
        <w:t xml:space="preserve">Gli investimenti </w:t>
      </w:r>
      <w:r w:rsidR="00191157" w:rsidRPr="009D7A66">
        <w:rPr>
          <w:color w:val="auto"/>
        </w:rPr>
        <w:t>si assestano</w:t>
      </w:r>
      <w:r w:rsidR="00B0759C" w:rsidRPr="009D7A66">
        <w:rPr>
          <w:color w:val="auto"/>
        </w:rPr>
        <w:t xml:space="preserve"> leggermente</w:t>
      </w:r>
      <w:r w:rsidR="00BD2286" w:rsidRPr="009D7A66">
        <w:rPr>
          <w:color w:val="auto"/>
        </w:rPr>
        <w:t xml:space="preserve"> </w:t>
      </w:r>
      <w:r w:rsidR="00096B3B" w:rsidRPr="009D7A66">
        <w:rPr>
          <w:color w:val="auto"/>
        </w:rPr>
        <w:t>(</w:t>
      </w:r>
      <w:r w:rsidR="00191157" w:rsidRPr="009D7A66">
        <w:rPr>
          <w:color w:val="auto"/>
        </w:rPr>
        <w:t>24,9</w:t>
      </w:r>
      <w:r w:rsidR="00096B3B" w:rsidRPr="009D7A66">
        <w:rPr>
          <w:color w:val="auto"/>
        </w:rPr>
        <w:t xml:space="preserve">%), </w:t>
      </w:r>
      <w:r w:rsidR="00191157" w:rsidRPr="009D7A66">
        <w:rPr>
          <w:color w:val="auto"/>
        </w:rPr>
        <w:t>azzerato</w:t>
      </w:r>
      <w:r w:rsidR="00B0759C" w:rsidRPr="009D7A66">
        <w:rPr>
          <w:color w:val="auto"/>
        </w:rPr>
        <w:t xml:space="preserve"> </w:t>
      </w:r>
      <w:r w:rsidR="0009348B" w:rsidRPr="009D7A66">
        <w:rPr>
          <w:color w:val="auto"/>
        </w:rPr>
        <w:t>il</w:t>
      </w:r>
      <w:r w:rsidR="00096B3B" w:rsidRPr="009D7A66">
        <w:rPr>
          <w:color w:val="auto"/>
        </w:rPr>
        <w:t xml:space="preserve"> ricorso alla CIG (</w:t>
      </w:r>
      <w:r w:rsidR="00191157" w:rsidRPr="009D7A66">
        <w:rPr>
          <w:color w:val="auto"/>
        </w:rPr>
        <w:t>0,3</w:t>
      </w:r>
      <w:r w:rsidR="00096B3B" w:rsidRPr="009D7A66">
        <w:rPr>
          <w:color w:val="auto"/>
        </w:rPr>
        <w:t>%).</w:t>
      </w:r>
      <w:r w:rsidR="001C25FD" w:rsidRPr="009D7A66">
        <w:rPr>
          <w:color w:val="auto"/>
        </w:rPr>
        <w:t xml:space="preserve"> </w:t>
      </w:r>
      <w:r w:rsidR="00BD2286" w:rsidRPr="009D7A66">
        <w:rPr>
          <w:color w:val="auto"/>
        </w:rPr>
        <w:t>Resta alto</w:t>
      </w:r>
      <w:r w:rsidR="00E7671C" w:rsidRPr="009D7A66">
        <w:rPr>
          <w:color w:val="auto"/>
        </w:rPr>
        <w:t xml:space="preserve"> </w:t>
      </w:r>
      <w:r w:rsidR="008931C7" w:rsidRPr="009D7A66">
        <w:rPr>
          <w:color w:val="auto"/>
        </w:rPr>
        <w:t>il tasso di utilizzo delle risorse</w:t>
      </w:r>
      <w:r w:rsidR="00E7671C" w:rsidRPr="009D7A66">
        <w:rPr>
          <w:color w:val="auto"/>
        </w:rPr>
        <w:t xml:space="preserve"> (8</w:t>
      </w:r>
      <w:r w:rsidR="00191157" w:rsidRPr="009D7A66">
        <w:rPr>
          <w:color w:val="auto"/>
        </w:rPr>
        <w:t>6</w:t>
      </w:r>
      <w:r w:rsidR="00E7671C" w:rsidRPr="009D7A66">
        <w:rPr>
          <w:color w:val="auto"/>
        </w:rPr>
        <w:t>%)</w:t>
      </w:r>
      <w:r w:rsidR="008931C7" w:rsidRPr="009D7A66">
        <w:rPr>
          <w:color w:val="auto"/>
        </w:rPr>
        <w:t xml:space="preserve">. </w:t>
      </w:r>
    </w:p>
    <w:p w:rsidR="00D01AC8" w:rsidRPr="009D7A66" w:rsidRDefault="008931C7"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r w:rsidRPr="009D7A66">
        <w:rPr>
          <w:color w:val="auto"/>
        </w:rPr>
        <w:t xml:space="preserve">A livello settoriale, </w:t>
      </w:r>
      <w:r w:rsidR="00C40475" w:rsidRPr="009D7A66">
        <w:rPr>
          <w:color w:val="auto"/>
        </w:rPr>
        <w:t xml:space="preserve">le attese delle aziende del terziario </w:t>
      </w:r>
      <w:r w:rsidR="00B0759C" w:rsidRPr="009D7A66">
        <w:rPr>
          <w:color w:val="auto"/>
        </w:rPr>
        <w:t xml:space="preserve">sono positive </w:t>
      </w:r>
      <w:r w:rsidR="00BD2286" w:rsidRPr="009D7A66">
        <w:rPr>
          <w:color w:val="auto"/>
        </w:rPr>
        <w:t>in</w:t>
      </w:r>
      <w:r w:rsidR="00D01AC8" w:rsidRPr="009D7A66">
        <w:rPr>
          <w:color w:val="auto"/>
        </w:rPr>
        <w:t xml:space="preserve"> </w:t>
      </w:r>
      <w:r w:rsidR="00BD2286" w:rsidRPr="009D7A66">
        <w:rPr>
          <w:color w:val="auto"/>
        </w:rPr>
        <w:t xml:space="preserve">tutti i comparti, </w:t>
      </w:r>
      <w:r w:rsidR="00D01AC8" w:rsidRPr="009D7A66">
        <w:rPr>
          <w:color w:val="auto"/>
        </w:rPr>
        <w:t xml:space="preserve">con saldi </w:t>
      </w:r>
      <w:r w:rsidR="00B0759C" w:rsidRPr="009D7A66">
        <w:rPr>
          <w:color w:val="auto"/>
        </w:rPr>
        <w:t>pari a +27,</w:t>
      </w:r>
      <w:r w:rsidR="00191157" w:rsidRPr="009D7A66">
        <w:rPr>
          <w:color w:val="auto"/>
        </w:rPr>
        <w:t>6</w:t>
      </w:r>
      <w:r w:rsidR="00B0759C" w:rsidRPr="009D7A66">
        <w:rPr>
          <w:color w:val="auto"/>
        </w:rPr>
        <w:t xml:space="preserve">% </w:t>
      </w:r>
      <w:r w:rsidR="00191157" w:rsidRPr="009D7A66">
        <w:rPr>
          <w:color w:val="auto"/>
        </w:rPr>
        <w:t xml:space="preserve">per i trasporti, +25,6% per i servizi alle imprese, </w:t>
      </w:r>
      <w:r w:rsidR="00B0759C" w:rsidRPr="009D7A66">
        <w:rPr>
          <w:color w:val="auto"/>
        </w:rPr>
        <w:t>+</w:t>
      </w:r>
      <w:r w:rsidR="00191157" w:rsidRPr="009D7A66">
        <w:rPr>
          <w:color w:val="auto"/>
        </w:rPr>
        <w:t>23,4</w:t>
      </w:r>
      <w:r w:rsidR="00B0759C" w:rsidRPr="009D7A66">
        <w:rPr>
          <w:color w:val="auto"/>
        </w:rPr>
        <w:t xml:space="preserve">% per l’ICT, </w:t>
      </w:r>
      <w:r w:rsidR="00191157" w:rsidRPr="009D7A66">
        <w:rPr>
          <w:color w:val="auto"/>
        </w:rPr>
        <w:t xml:space="preserve">+9,6% per gli altri servizi, +15,0% per le utility, </w:t>
      </w:r>
      <w:r w:rsidR="000B6218" w:rsidRPr="009D7A66">
        <w:rPr>
          <w:color w:val="auto"/>
        </w:rPr>
        <w:t xml:space="preserve">+16,1 </w:t>
      </w:r>
      <w:r w:rsidR="00B0759C" w:rsidRPr="009D7A66">
        <w:rPr>
          <w:color w:val="auto"/>
        </w:rPr>
        <w:t>per commercio e turismo</w:t>
      </w:r>
      <w:r w:rsidR="000B6218" w:rsidRPr="009D7A66">
        <w:rPr>
          <w:color w:val="auto"/>
        </w:rPr>
        <w:t>.</w:t>
      </w:r>
    </w:p>
    <w:p w:rsidR="000924DC" w:rsidRPr="009D7A66" w:rsidRDefault="000924DC" w:rsidP="009D7A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textAlignment w:val="baseline"/>
        <w:rPr>
          <w:color w:val="auto"/>
        </w:rPr>
      </w:pPr>
    </w:p>
    <w:p w:rsidR="00A00C81" w:rsidRPr="009405AF" w:rsidRDefault="000B6218" w:rsidP="00E83615">
      <w:pPr>
        <w:rPr>
          <w:rFonts w:ascii="Roboto" w:hAnsi="Roboto"/>
          <w:color w:val="auto"/>
        </w:rPr>
      </w:pPr>
      <w:r>
        <w:rPr>
          <w:rFonts w:ascii="Roboto" w:hAnsi="Roboto"/>
          <w:noProof/>
          <w:color w:val="auto"/>
        </w:rPr>
        <w:drawing>
          <wp:inline distT="0" distB="0" distL="0" distR="0" wp14:anchorId="1989A886">
            <wp:extent cx="4438015" cy="2670175"/>
            <wp:effectExtent l="0" t="0" r="63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8015" cy="2670175"/>
                    </a:xfrm>
                    <a:prstGeom prst="rect">
                      <a:avLst/>
                    </a:prstGeom>
                    <a:noFill/>
                  </pic:spPr>
                </pic:pic>
              </a:graphicData>
            </a:graphic>
          </wp:inline>
        </w:drawing>
      </w:r>
    </w:p>
    <w:sectPr w:rsidR="00A00C81" w:rsidRPr="009405AF" w:rsidSect="00373630">
      <w:footerReference w:type="default" r:id="rId10"/>
      <w:pgSz w:w="11900" w:h="16840"/>
      <w:pgMar w:top="993" w:right="1134"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3D0" w:rsidRDefault="004853D0">
      <w:r>
        <w:separator/>
      </w:r>
    </w:p>
  </w:endnote>
  <w:endnote w:type="continuationSeparator" w:id="0">
    <w:p w:rsidR="004853D0" w:rsidRDefault="00485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378312"/>
      <w:docPartObj>
        <w:docPartGallery w:val="Page Numbers (Bottom of Page)"/>
        <w:docPartUnique/>
      </w:docPartObj>
    </w:sdtPr>
    <w:sdtEndPr/>
    <w:sdtContent>
      <w:p w:rsidR="008015C5" w:rsidRDefault="008015C5">
        <w:pPr>
          <w:pStyle w:val="Pidipagina"/>
          <w:jc w:val="center"/>
        </w:pPr>
        <w:r>
          <w:fldChar w:fldCharType="begin"/>
        </w:r>
        <w:r>
          <w:instrText>PAGE   \* MERGEFORMAT</w:instrText>
        </w:r>
        <w:r>
          <w:fldChar w:fldCharType="separate"/>
        </w:r>
        <w:r w:rsidR="003A20AC">
          <w:rPr>
            <w:noProof/>
          </w:rPr>
          <w:t>1</w:t>
        </w:r>
        <w:r>
          <w:fldChar w:fldCharType="end"/>
        </w:r>
      </w:p>
    </w:sdtContent>
  </w:sdt>
  <w:p w:rsidR="00511E24" w:rsidRDefault="00511E24">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3D0" w:rsidRDefault="004853D0">
      <w:r>
        <w:separator/>
      </w:r>
    </w:p>
  </w:footnote>
  <w:footnote w:type="continuationSeparator" w:id="0">
    <w:p w:rsidR="004853D0" w:rsidRDefault="004853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324D95"/>
    <w:multiLevelType w:val="hybridMultilevel"/>
    <w:tmpl w:val="5F14DAF4"/>
    <w:lvl w:ilvl="0" w:tplc="9EF4941C">
      <w:numFmt w:val="bullet"/>
      <w:lvlText w:val=""/>
      <w:lvlJc w:val="left"/>
      <w:pPr>
        <w:ind w:left="720" w:hanging="360"/>
      </w:pPr>
      <w:rPr>
        <w:rFonts w:ascii="Symbol" w:eastAsia="Arial Unicode MS" w:hAnsi="Symbol" w:cs="Arial Unicode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6533D65"/>
    <w:multiLevelType w:val="hybridMultilevel"/>
    <w:tmpl w:val="2232504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1E23D98"/>
    <w:multiLevelType w:val="hybridMultilevel"/>
    <w:tmpl w:val="04A8F596"/>
    <w:lvl w:ilvl="0" w:tplc="5B2861E4">
      <w:numFmt w:val="bullet"/>
      <w:lvlText w:val=""/>
      <w:lvlJc w:val="left"/>
      <w:pPr>
        <w:ind w:left="720" w:hanging="360"/>
      </w:pPr>
      <w:rPr>
        <w:rFonts w:ascii="Symbol" w:eastAsia="Arial Unicode MS" w:hAnsi="Symbol" w:cs="Arial Unicode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ocumentProtection w:edit="trackedChanges" w:enforcement="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E24"/>
    <w:rsid w:val="00007731"/>
    <w:rsid w:val="0001156B"/>
    <w:rsid w:val="0002701E"/>
    <w:rsid w:val="00030477"/>
    <w:rsid w:val="00042110"/>
    <w:rsid w:val="000541BD"/>
    <w:rsid w:val="00072A89"/>
    <w:rsid w:val="000924DC"/>
    <w:rsid w:val="0009348B"/>
    <w:rsid w:val="00096B3B"/>
    <w:rsid w:val="0009746F"/>
    <w:rsid w:val="000B6218"/>
    <w:rsid w:val="000C66AD"/>
    <w:rsid w:val="000D393C"/>
    <w:rsid w:val="000D731A"/>
    <w:rsid w:val="000E0BBF"/>
    <w:rsid w:val="000E2C76"/>
    <w:rsid w:val="000E373E"/>
    <w:rsid w:val="00104DE3"/>
    <w:rsid w:val="00105085"/>
    <w:rsid w:val="0012487D"/>
    <w:rsid w:val="00137C59"/>
    <w:rsid w:val="001603C8"/>
    <w:rsid w:val="00180297"/>
    <w:rsid w:val="00180506"/>
    <w:rsid w:val="00191157"/>
    <w:rsid w:val="001913F2"/>
    <w:rsid w:val="00193F80"/>
    <w:rsid w:val="001A42DA"/>
    <w:rsid w:val="001A796C"/>
    <w:rsid w:val="001B069C"/>
    <w:rsid w:val="001B4F5A"/>
    <w:rsid w:val="001C25FD"/>
    <w:rsid w:val="001D01E5"/>
    <w:rsid w:val="001E251F"/>
    <w:rsid w:val="001E5206"/>
    <w:rsid w:val="001E53BA"/>
    <w:rsid w:val="00204861"/>
    <w:rsid w:val="002154CB"/>
    <w:rsid w:val="00216D6F"/>
    <w:rsid w:val="00231A43"/>
    <w:rsid w:val="00232FA2"/>
    <w:rsid w:val="00233481"/>
    <w:rsid w:val="00240E53"/>
    <w:rsid w:val="00255127"/>
    <w:rsid w:val="00260A91"/>
    <w:rsid w:val="00260BFF"/>
    <w:rsid w:val="002861A3"/>
    <w:rsid w:val="0029055F"/>
    <w:rsid w:val="002A45E5"/>
    <w:rsid w:val="002A4EAC"/>
    <w:rsid w:val="002B14E7"/>
    <w:rsid w:val="002B7493"/>
    <w:rsid w:val="002C46A1"/>
    <w:rsid w:val="002C7EA5"/>
    <w:rsid w:val="002D4A99"/>
    <w:rsid w:val="002E50F2"/>
    <w:rsid w:val="002E76EE"/>
    <w:rsid w:val="002F42FB"/>
    <w:rsid w:val="00305626"/>
    <w:rsid w:val="00312020"/>
    <w:rsid w:val="003201D0"/>
    <w:rsid w:val="00322315"/>
    <w:rsid w:val="00334E4B"/>
    <w:rsid w:val="00343686"/>
    <w:rsid w:val="0035187C"/>
    <w:rsid w:val="00366885"/>
    <w:rsid w:val="00373630"/>
    <w:rsid w:val="00380F72"/>
    <w:rsid w:val="00381D83"/>
    <w:rsid w:val="003A20AC"/>
    <w:rsid w:val="003C393A"/>
    <w:rsid w:val="003C48CC"/>
    <w:rsid w:val="003D4BB0"/>
    <w:rsid w:val="003F1580"/>
    <w:rsid w:val="003F439B"/>
    <w:rsid w:val="00400227"/>
    <w:rsid w:val="00400DA4"/>
    <w:rsid w:val="00426967"/>
    <w:rsid w:val="004315DE"/>
    <w:rsid w:val="00431B14"/>
    <w:rsid w:val="00436645"/>
    <w:rsid w:val="00442F17"/>
    <w:rsid w:val="00451D12"/>
    <w:rsid w:val="00455758"/>
    <w:rsid w:val="00456955"/>
    <w:rsid w:val="00466117"/>
    <w:rsid w:val="00471B45"/>
    <w:rsid w:val="004853D0"/>
    <w:rsid w:val="004879BF"/>
    <w:rsid w:val="0049567E"/>
    <w:rsid w:val="00497849"/>
    <w:rsid w:val="004A4CFB"/>
    <w:rsid w:val="004A75F6"/>
    <w:rsid w:val="004C05C5"/>
    <w:rsid w:val="004C5025"/>
    <w:rsid w:val="004E45D2"/>
    <w:rsid w:val="004E5FEA"/>
    <w:rsid w:val="00505FDE"/>
    <w:rsid w:val="0050637D"/>
    <w:rsid w:val="00511E24"/>
    <w:rsid w:val="00542D6D"/>
    <w:rsid w:val="0056640E"/>
    <w:rsid w:val="005775C3"/>
    <w:rsid w:val="00580126"/>
    <w:rsid w:val="005815AF"/>
    <w:rsid w:val="00581655"/>
    <w:rsid w:val="005820D9"/>
    <w:rsid w:val="00586203"/>
    <w:rsid w:val="00597138"/>
    <w:rsid w:val="005B0F05"/>
    <w:rsid w:val="005B1307"/>
    <w:rsid w:val="005B76FF"/>
    <w:rsid w:val="005D2574"/>
    <w:rsid w:val="005D4C2D"/>
    <w:rsid w:val="005E7B7D"/>
    <w:rsid w:val="0061533B"/>
    <w:rsid w:val="006178D8"/>
    <w:rsid w:val="006200BF"/>
    <w:rsid w:val="0063100D"/>
    <w:rsid w:val="00634694"/>
    <w:rsid w:val="00660944"/>
    <w:rsid w:val="006669D3"/>
    <w:rsid w:val="006801A1"/>
    <w:rsid w:val="006802D1"/>
    <w:rsid w:val="00683C0A"/>
    <w:rsid w:val="0068797F"/>
    <w:rsid w:val="006A37FB"/>
    <w:rsid w:val="006C3605"/>
    <w:rsid w:val="006D6AE0"/>
    <w:rsid w:val="00700D51"/>
    <w:rsid w:val="007056AD"/>
    <w:rsid w:val="007178FA"/>
    <w:rsid w:val="007225CD"/>
    <w:rsid w:val="0073302F"/>
    <w:rsid w:val="00746089"/>
    <w:rsid w:val="00751774"/>
    <w:rsid w:val="00751C45"/>
    <w:rsid w:val="0078640F"/>
    <w:rsid w:val="00792A0D"/>
    <w:rsid w:val="0079345B"/>
    <w:rsid w:val="007960C2"/>
    <w:rsid w:val="007A13B9"/>
    <w:rsid w:val="007A326B"/>
    <w:rsid w:val="007A5D96"/>
    <w:rsid w:val="007B2624"/>
    <w:rsid w:val="007F02E2"/>
    <w:rsid w:val="008015C5"/>
    <w:rsid w:val="0080221C"/>
    <w:rsid w:val="00802915"/>
    <w:rsid w:val="0080515E"/>
    <w:rsid w:val="008126B2"/>
    <w:rsid w:val="00827ACC"/>
    <w:rsid w:val="00830423"/>
    <w:rsid w:val="0083154B"/>
    <w:rsid w:val="00864A06"/>
    <w:rsid w:val="008734B3"/>
    <w:rsid w:val="0088320E"/>
    <w:rsid w:val="008930DE"/>
    <w:rsid w:val="008931C7"/>
    <w:rsid w:val="008A4877"/>
    <w:rsid w:val="008C36A2"/>
    <w:rsid w:val="008C5E37"/>
    <w:rsid w:val="008C7A44"/>
    <w:rsid w:val="008D2D1D"/>
    <w:rsid w:val="008E062D"/>
    <w:rsid w:val="008E0CAE"/>
    <w:rsid w:val="008E5218"/>
    <w:rsid w:val="008E7A5C"/>
    <w:rsid w:val="008F0CDE"/>
    <w:rsid w:val="00906237"/>
    <w:rsid w:val="009132D4"/>
    <w:rsid w:val="009405AF"/>
    <w:rsid w:val="00943003"/>
    <w:rsid w:val="00950392"/>
    <w:rsid w:val="0095762B"/>
    <w:rsid w:val="009577E2"/>
    <w:rsid w:val="00967126"/>
    <w:rsid w:val="0097768E"/>
    <w:rsid w:val="009A0CA9"/>
    <w:rsid w:val="009A2A1E"/>
    <w:rsid w:val="009A4F57"/>
    <w:rsid w:val="009A7739"/>
    <w:rsid w:val="009C0B4A"/>
    <w:rsid w:val="009D4B78"/>
    <w:rsid w:val="009D7A66"/>
    <w:rsid w:val="009D7F4F"/>
    <w:rsid w:val="009E0195"/>
    <w:rsid w:val="009E2397"/>
    <w:rsid w:val="009F59A0"/>
    <w:rsid w:val="00A00C81"/>
    <w:rsid w:val="00A049BE"/>
    <w:rsid w:val="00A16103"/>
    <w:rsid w:val="00A41AEA"/>
    <w:rsid w:val="00A4561F"/>
    <w:rsid w:val="00A4605F"/>
    <w:rsid w:val="00A53395"/>
    <w:rsid w:val="00A64AA5"/>
    <w:rsid w:val="00A71F00"/>
    <w:rsid w:val="00A819D6"/>
    <w:rsid w:val="00A853C7"/>
    <w:rsid w:val="00A865F6"/>
    <w:rsid w:val="00A9367C"/>
    <w:rsid w:val="00A96B45"/>
    <w:rsid w:val="00AA1831"/>
    <w:rsid w:val="00AA2B80"/>
    <w:rsid w:val="00AA3497"/>
    <w:rsid w:val="00AA44B4"/>
    <w:rsid w:val="00AA52D9"/>
    <w:rsid w:val="00AA6D2B"/>
    <w:rsid w:val="00AA7B69"/>
    <w:rsid w:val="00AA7FA1"/>
    <w:rsid w:val="00AC09E7"/>
    <w:rsid w:val="00AD6807"/>
    <w:rsid w:val="00AE3C9F"/>
    <w:rsid w:val="00AE541C"/>
    <w:rsid w:val="00AE5C0C"/>
    <w:rsid w:val="00AF31B9"/>
    <w:rsid w:val="00AF50E1"/>
    <w:rsid w:val="00AF61F7"/>
    <w:rsid w:val="00AF7A3E"/>
    <w:rsid w:val="00B0759C"/>
    <w:rsid w:val="00B10E4C"/>
    <w:rsid w:val="00B14545"/>
    <w:rsid w:val="00B238CB"/>
    <w:rsid w:val="00B30C8E"/>
    <w:rsid w:val="00B53A77"/>
    <w:rsid w:val="00B6316A"/>
    <w:rsid w:val="00B72F11"/>
    <w:rsid w:val="00B735AA"/>
    <w:rsid w:val="00B9112C"/>
    <w:rsid w:val="00B92484"/>
    <w:rsid w:val="00B946D0"/>
    <w:rsid w:val="00BC7DD6"/>
    <w:rsid w:val="00BD2286"/>
    <w:rsid w:val="00BD5E67"/>
    <w:rsid w:val="00BD7115"/>
    <w:rsid w:val="00BF4839"/>
    <w:rsid w:val="00C00EC0"/>
    <w:rsid w:val="00C21CA0"/>
    <w:rsid w:val="00C26D63"/>
    <w:rsid w:val="00C32FC8"/>
    <w:rsid w:val="00C40475"/>
    <w:rsid w:val="00C42FCB"/>
    <w:rsid w:val="00C46BB1"/>
    <w:rsid w:val="00C547F7"/>
    <w:rsid w:val="00C5525C"/>
    <w:rsid w:val="00C71A42"/>
    <w:rsid w:val="00C85892"/>
    <w:rsid w:val="00CA3366"/>
    <w:rsid w:val="00CC1DA0"/>
    <w:rsid w:val="00CC57A9"/>
    <w:rsid w:val="00CE4467"/>
    <w:rsid w:val="00CF5240"/>
    <w:rsid w:val="00D01AC8"/>
    <w:rsid w:val="00D02012"/>
    <w:rsid w:val="00D044E1"/>
    <w:rsid w:val="00D1330C"/>
    <w:rsid w:val="00D17C23"/>
    <w:rsid w:val="00D3084D"/>
    <w:rsid w:val="00D35F1F"/>
    <w:rsid w:val="00D52B46"/>
    <w:rsid w:val="00D73D74"/>
    <w:rsid w:val="00D74D97"/>
    <w:rsid w:val="00D80287"/>
    <w:rsid w:val="00D92CD5"/>
    <w:rsid w:val="00DA0ACE"/>
    <w:rsid w:val="00DA0E80"/>
    <w:rsid w:val="00DA5377"/>
    <w:rsid w:val="00DC1743"/>
    <w:rsid w:val="00DC2C5B"/>
    <w:rsid w:val="00DC3DDA"/>
    <w:rsid w:val="00DD045E"/>
    <w:rsid w:val="00DD79EA"/>
    <w:rsid w:val="00DE2D92"/>
    <w:rsid w:val="00E04CD7"/>
    <w:rsid w:val="00E257B9"/>
    <w:rsid w:val="00E424ED"/>
    <w:rsid w:val="00E46444"/>
    <w:rsid w:val="00E56A57"/>
    <w:rsid w:val="00E61ED4"/>
    <w:rsid w:val="00E7671C"/>
    <w:rsid w:val="00E83615"/>
    <w:rsid w:val="00E83743"/>
    <w:rsid w:val="00E92759"/>
    <w:rsid w:val="00E97C87"/>
    <w:rsid w:val="00EA3256"/>
    <w:rsid w:val="00EA76DF"/>
    <w:rsid w:val="00EC72CA"/>
    <w:rsid w:val="00ED11AE"/>
    <w:rsid w:val="00ED2372"/>
    <w:rsid w:val="00ED7F22"/>
    <w:rsid w:val="00EE15EC"/>
    <w:rsid w:val="00F12528"/>
    <w:rsid w:val="00F13D5E"/>
    <w:rsid w:val="00F1547E"/>
    <w:rsid w:val="00F26497"/>
    <w:rsid w:val="00F364E0"/>
    <w:rsid w:val="00F4428D"/>
    <w:rsid w:val="00F53105"/>
    <w:rsid w:val="00F63AD8"/>
    <w:rsid w:val="00F63D78"/>
    <w:rsid w:val="00F64891"/>
    <w:rsid w:val="00F66176"/>
    <w:rsid w:val="00F70FE8"/>
    <w:rsid w:val="00F7126F"/>
    <w:rsid w:val="00F845F5"/>
    <w:rsid w:val="00F869A3"/>
    <w:rsid w:val="00F9169C"/>
    <w:rsid w:val="00F93005"/>
    <w:rsid w:val="00FA0910"/>
    <w:rsid w:val="00FA4341"/>
    <w:rsid w:val="00FB5C3B"/>
    <w:rsid w:val="00FC3906"/>
    <w:rsid w:val="00FC6795"/>
    <w:rsid w:val="00FD2E4E"/>
    <w:rsid w:val="00FE7FF8"/>
    <w:rsid w:val="00FF08A6"/>
    <w:rsid w:val="00FF20D7"/>
    <w:rsid w:val="00FF5E78"/>
    <w:rsid w:val="00FF76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387891-2BA9-4DFC-A0C5-939D07D70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jc w:val="both"/>
    </w:pPr>
    <w:rPr>
      <w:rFonts w:cs="Arial Unicode MS"/>
      <w:color w:val="000000"/>
      <w:sz w:val="28"/>
      <w:szCs w:val="28"/>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w:hAnsi="Helvetica" w:cs="Arial Unicode MS"/>
      <w:color w:val="000000"/>
      <w:sz w:val="24"/>
      <w:szCs w:val="24"/>
    </w:rPr>
  </w:style>
  <w:style w:type="paragraph" w:styleId="Intestazione">
    <w:name w:val="header"/>
    <w:basedOn w:val="Normale"/>
    <w:link w:val="IntestazioneCarattere"/>
    <w:uiPriority w:val="99"/>
    <w:unhideWhenUsed/>
    <w:rsid w:val="008015C5"/>
    <w:pPr>
      <w:tabs>
        <w:tab w:val="center" w:pos="4819"/>
        <w:tab w:val="right" w:pos="9638"/>
      </w:tabs>
    </w:pPr>
  </w:style>
  <w:style w:type="character" w:customStyle="1" w:styleId="IntestazioneCarattere">
    <w:name w:val="Intestazione Carattere"/>
    <w:basedOn w:val="Carpredefinitoparagrafo"/>
    <w:link w:val="Intestazione"/>
    <w:uiPriority w:val="99"/>
    <w:rsid w:val="008015C5"/>
    <w:rPr>
      <w:rFonts w:cs="Arial Unicode MS"/>
      <w:color w:val="000000"/>
      <w:sz w:val="28"/>
      <w:szCs w:val="28"/>
      <w:u w:color="000000"/>
    </w:rPr>
  </w:style>
  <w:style w:type="paragraph" w:styleId="Pidipagina">
    <w:name w:val="footer"/>
    <w:basedOn w:val="Normale"/>
    <w:link w:val="PidipaginaCarattere"/>
    <w:uiPriority w:val="99"/>
    <w:unhideWhenUsed/>
    <w:rsid w:val="008015C5"/>
    <w:pPr>
      <w:tabs>
        <w:tab w:val="center" w:pos="4819"/>
        <w:tab w:val="right" w:pos="9638"/>
      </w:tabs>
    </w:pPr>
  </w:style>
  <w:style w:type="character" w:customStyle="1" w:styleId="PidipaginaCarattere">
    <w:name w:val="Piè di pagina Carattere"/>
    <w:basedOn w:val="Carpredefinitoparagrafo"/>
    <w:link w:val="Pidipagina"/>
    <w:uiPriority w:val="99"/>
    <w:rsid w:val="008015C5"/>
    <w:rPr>
      <w:rFonts w:cs="Arial Unicode MS"/>
      <w:color w:val="000000"/>
      <w:sz w:val="28"/>
      <w:szCs w:val="28"/>
      <w:u w:color="000000"/>
    </w:rPr>
  </w:style>
  <w:style w:type="paragraph" w:styleId="Testofumetto">
    <w:name w:val="Balloon Text"/>
    <w:basedOn w:val="Normale"/>
    <w:link w:val="TestofumettoCarattere"/>
    <w:uiPriority w:val="99"/>
    <w:semiHidden/>
    <w:unhideWhenUsed/>
    <w:rsid w:val="002C7EA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C7EA5"/>
    <w:rPr>
      <w:rFonts w:ascii="Segoe UI" w:hAnsi="Segoe UI" w:cs="Segoe UI"/>
      <w:color w:val="000000"/>
      <w:sz w:val="18"/>
      <w:szCs w:val="18"/>
      <w:u w:color="000000"/>
    </w:rPr>
  </w:style>
  <w:style w:type="paragraph" w:styleId="Paragrafoelenco">
    <w:name w:val="List Paragraph"/>
    <w:basedOn w:val="Normale"/>
    <w:uiPriority w:val="34"/>
    <w:qFormat/>
    <w:rsid w:val="00E61ED4"/>
    <w:pPr>
      <w:ind w:left="720"/>
      <w:contextualSpacing/>
    </w:pPr>
  </w:style>
  <w:style w:type="paragraph" w:styleId="Revisione">
    <w:name w:val="Revision"/>
    <w:hidden/>
    <w:uiPriority w:val="99"/>
    <w:semiHidden/>
    <w:rsid w:val="004E5FEA"/>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8"/>
      <w:szCs w:val="2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82052">
      <w:bodyDiv w:val="1"/>
      <w:marLeft w:val="0"/>
      <w:marRight w:val="0"/>
      <w:marTop w:val="0"/>
      <w:marBottom w:val="0"/>
      <w:divBdr>
        <w:top w:val="none" w:sz="0" w:space="0" w:color="auto"/>
        <w:left w:val="none" w:sz="0" w:space="0" w:color="auto"/>
        <w:bottom w:val="none" w:sz="0" w:space="0" w:color="auto"/>
        <w:right w:val="none" w:sz="0" w:space="0" w:color="auto"/>
      </w:divBdr>
    </w:div>
    <w:div w:id="361131929">
      <w:bodyDiv w:val="1"/>
      <w:marLeft w:val="0"/>
      <w:marRight w:val="0"/>
      <w:marTop w:val="0"/>
      <w:marBottom w:val="0"/>
      <w:divBdr>
        <w:top w:val="none" w:sz="0" w:space="0" w:color="auto"/>
        <w:left w:val="none" w:sz="0" w:space="0" w:color="auto"/>
        <w:bottom w:val="none" w:sz="0" w:space="0" w:color="auto"/>
        <w:right w:val="none" w:sz="0" w:space="0" w:color="auto"/>
      </w:divBdr>
    </w:div>
    <w:div w:id="1776905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86AF0-6110-403B-B257-30DA5A81F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1144</Words>
  <Characters>6526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Studi Economici UI Torino</dc:creator>
  <cp:lastModifiedBy>Di Leo Serena</cp:lastModifiedBy>
  <cp:revision>2</cp:revision>
  <cp:lastPrinted>2021-03-29T13:27:00Z</cp:lastPrinted>
  <dcterms:created xsi:type="dcterms:W3CDTF">2023-07-11T12:06:00Z</dcterms:created>
  <dcterms:modified xsi:type="dcterms:W3CDTF">2023-07-11T12:06:00Z</dcterms:modified>
</cp:coreProperties>
</file>