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21718" w14:textId="77777777" w:rsidR="00D13F12" w:rsidRDefault="00D13F12" w:rsidP="00F62A4B">
      <w:pPr>
        <w:jc w:val="center"/>
        <w:rPr>
          <w:b/>
          <w:bCs/>
        </w:rPr>
      </w:pPr>
    </w:p>
    <w:p w14:paraId="1FBA2450" w14:textId="1CA2D83C" w:rsidR="00F62A4B" w:rsidRPr="00F62A4B" w:rsidRDefault="00182DBF" w:rsidP="00F62A4B">
      <w:pPr>
        <w:jc w:val="center"/>
        <w:rPr>
          <w:b/>
          <w:bCs/>
        </w:rPr>
      </w:pPr>
      <w:r>
        <w:rPr>
          <w:b/>
          <w:bCs/>
        </w:rPr>
        <w:t xml:space="preserve">PROSEGUE </w:t>
      </w:r>
      <w:r w:rsidR="00D13F12">
        <w:rPr>
          <w:b/>
          <w:bCs/>
        </w:rPr>
        <w:t>LA</w:t>
      </w:r>
      <w:r w:rsidR="00F62A4B" w:rsidRPr="00F62A4B">
        <w:rPr>
          <w:b/>
          <w:bCs/>
        </w:rPr>
        <w:t xml:space="preserve"> TRANSIZIONE PER LE INFRASTRUTTURE PIEMONTESI</w:t>
      </w:r>
      <w:r w:rsidR="00F62A4B" w:rsidRPr="00F62A4B">
        <w:rPr>
          <w:b/>
          <w:bCs/>
        </w:rPr>
        <w:br/>
        <w:t xml:space="preserve">ENTRO </w:t>
      </w:r>
      <w:r w:rsidR="00D13F12">
        <w:rPr>
          <w:b/>
          <w:bCs/>
        </w:rPr>
        <w:t xml:space="preserve">IL 2032 </w:t>
      </w:r>
      <w:r w:rsidR="00D13F12" w:rsidRPr="00F62A4B">
        <w:rPr>
          <w:b/>
          <w:bCs/>
        </w:rPr>
        <w:t>SARANNO ULTIMATE</w:t>
      </w:r>
      <w:r w:rsidR="00D13F12">
        <w:rPr>
          <w:b/>
          <w:bCs/>
        </w:rPr>
        <w:t xml:space="preserve"> </w:t>
      </w:r>
      <w:r w:rsidR="00D13F12" w:rsidRPr="00F62A4B">
        <w:rPr>
          <w:b/>
          <w:bCs/>
        </w:rPr>
        <w:t>33 GRANDI OPERE</w:t>
      </w:r>
      <w:r w:rsidR="00F62A4B" w:rsidRPr="00F62A4B">
        <w:rPr>
          <w:b/>
          <w:bCs/>
        </w:rPr>
        <w:br/>
        <w:t>GAY: “</w:t>
      </w:r>
      <w:r w:rsidR="00904DDC">
        <w:rPr>
          <w:b/>
          <w:bCs/>
        </w:rPr>
        <w:t>ACCELERARE SU REPERIMENTO FONDI ANCORA MANCANTI</w:t>
      </w:r>
      <w:r w:rsidR="00F62A4B" w:rsidRPr="00F62A4B">
        <w:rPr>
          <w:b/>
          <w:bCs/>
        </w:rPr>
        <w:t>”</w:t>
      </w:r>
    </w:p>
    <w:p w14:paraId="0D3CABD5" w14:textId="2E5C61BC" w:rsidR="00F62A4B" w:rsidRPr="00A950F1" w:rsidRDefault="00A950F1" w:rsidP="00F62A4B">
      <w:pPr>
        <w:jc w:val="center"/>
        <w:rPr>
          <w:i/>
          <w:iCs/>
          <w:sz w:val="24"/>
          <w:szCs w:val="24"/>
        </w:rPr>
      </w:pPr>
      <w:r w:rsidRPr="00A950F1">
        <w:rPr>
          <w:i/>
          <w:iCs/>
          <w:sz w:val="24"/>
          <w:szCs w:val="24"/>
        </w:rPr>
        <w:t>Il Rapporto 2022 dell’Osservatorio Oti sottolinea come r</w:t>
      </w:r>
      <w:r w:rsidR="00F62A4B" w:rsidRPr="00A950F1">
        <w:rPr>
          <w:i/>
          <w:iCs/>
          <w:sz w:val="24"/>
          <w:szCs w:val="24"/>
        </w:rPr>
        <w:t xml:space="preserve">incari e approvvigionamenti difficoltosi hanno rallentato </w:t>
      </w:r>
      <w:r w:rsidR="00904DDC">
        <w:rPr>
          <w:i/>
          <w:iCs/>
          <w:sz w:val="24"/>
          <w:szCs w:val="24"/>
        </w:rPr>
        <w:t xml:space="preserve">i </w:t>
      </w:r>
      <w:r w:rsidR="00F62A4B" w:rsidRPr="00A950F1">
        <w:rPr>
          <w:i/>
          <w:iCs/>
          <w:sz w:val="24"/>
          <w:szCs w:val="24"/>
        </w:rPr>
        <w:t>cantieri</w:t>
      </w:r>
      <w:r w:rsidRPr="00A950F1">
        <w:rPr>
          <w:i/>
          <w:iCs/>
          <w:sz w:val="24"/>
          <w:szCs w:val="24"/>
        </w:rPr>
        <w:t xml:space="preserve">. La progressiva </w:t>
      </w:r>
      <w:r w:rsidR="00063AE0">
        <w:rPr>
          <w:i/>
          <w:iCs/>
          <w:sz w:val="24"/>
          <w:szCs w:val="24"/>
        </w:rPr>
        <w:t xml:space="preserve">stabilizzazione dei progetti di </w:t>
      </w:r>
      <w:r w:rsidRPr="00A950F1">
        <w:rPr>
          <w:i/>
          <w:iCs/>
          <w:sz w:val="24"/>
          <w:szCs w:val="24"/>
        </w:rPr>
        <w:t xml:space="preserve">opere pubbliche rappresenta </w:t>
      </w:r>
      <w:r w:rsidR="00063AE0">
        <w:rPr>
          <w:i/>
          <w:iCs/>
          <w:sz w:val="24"/>
          <w:szCs w:val="24"/>
        </w:rPr>
        <w:t xml:space="preserve">un’opportunità </w:t>
      </w:r>
      <w:r w:rsidR="00904DDC">
        <w:rPr>
          <w:i/>
          <w:iCs/>
          <w:sz w:val="24"/>
          <w:szCs w:val="24"/>
        </w:rPr>
        <w:t xml:space="preserve">concreta </w:t>
      </w:r>
      <w:r w:rsidR="00063AE0">
        <w:rPr>
          <w:i/>
          <w:iCs/>
          <w:sz w:val="24"/>
          <w:szCs w:val="24"/>
        </w:rPr>
        <w:t xml:space="preserve">di crescita per l’economia regionale e di riequilibrio per il </w:t>
      </w:r>
      <w:r w:rsidRPr="00A950F1">
        <w:rPr>
          <w:i/>
          <w:iCs/>
          <w:sz w:val="24"/>
          <w:szCs w:val="24"/>
        </w:rPr>
        <w:t>settore</w:t>
      </w:r>
      <w:r>
        <w:rPr>
          <w:i/>
          <w:iCs/>
          <w:sz w:val="24"/>
          <w:szCs w:val="24"/>
        </w:rPr>
        <w:t xml:space="preserve"> edile</w:t>
      </w:r>
    </w:p>
    <w:p w14:paraId="5F19DC52" w14:textId="64048058" w:rsidR="00F62A4B" w:rsidRPr="00041CC4" w:rsidRDefault="00A950F1" w:rsidP="00A950F1">
      <w:pPr>
        <w:jc w:val="right"/>
        <w:rPr>
          <w:sz w:val="22"/>
        </w:rPr>
      </w:pPr>
      <w:r w:rsidRPr="00041CC4">
        <w:rPr>
          <w:sz w:val="22"/>
        </w:rPr>
        <w:t>Novara, 20 marzo 2023</w:t>
      </w:r>
    </w:p>
    <w:p w14:paraId="77ED89B2" w14:textId="466967B5" w:rsidR="00BD10EB" w:rsidRPr="00F62A4B" w:rsidRDefault="00EC0C49" w:rsidP="00A950F1">
      <w:pPr>
        <w:jc w:val="both"/>
        <w:rPr>
          <w:sz w:val="24"/>
          <w:szCs w:val="24"/>
        </w:rPr>
      </w:pPr>
      <w:r w:rsidRPr="00F62A4B">
        <w:rPr>
          <w:sz w:val="24"/>
          <w:szCs w:val="24"/>
        </w:rPr>
        <w:t xml:space="preserve">Il 2022 è stato un anno di transizione per le infrastrutture piemontesi. Hanno pesato i </w:t>
      </w:r>
      <w:r w:rsidRPr="006F0492">
        <w:rPr>
          <w:b/>
          <w:bCs/>
          <w:sz w:val="24"/>
          <w:szCs w:val="24"/>
        </w:rPr>
        <w:t>rincari delle materie prime</w:t>
      </w:r>
      <w:r w:rsidRPr="00F62A4B">
        <w:rPr>
          <w:sz w:val="24"/>
          <w:szCs w:val="24"/>
        </w:rPr>
        <w:t xml:space="preserve"> e le conseguenti difficoltà di approvvigionamento. </w:t>
      </w:r>
      <w:r w:rsidR="00A950F1" w:rsidRPr="00F62A4B">
        <w:rPr>
          <w:sz w:val="24"/>
          <w:szCs w:val="24"/>
        </w:rPr>
        <w:t>È</w:t>
      </w:r>
      <w:r w:rsidRPr="00F62A4B">
        <w:rPr>
          <w:sz w:val="24"/>
          <w:szCs w:val="24"/>
        </w:rPr>
        <w:t xml:space="preserve"> quanto emerge dal Rapporto 2022 dell’Osservatorio Oti di Confindustria Piemonte e Unioncamere Piemonte, realizzato in collaborazione con la Regione Piemonte</w:t>
      </w:r>
      <w:r w:rsidR="00D97E8C">
        <w:rPr>
          <w:sz w:val="24"/>
          <w:szCs w:val="24"/>
        </w:rPr>
        <w:t xml:space="preserve">, che è stato presentato presso la sede di </w:t>
      </w:r>
      <w:r w:rsidR="00D97E8C" w:rsidRPr="00D97E8C">
        <w:rPr>
          <w:sz w:val="24"/>
          <w:szCs w:val="24"/>
        </w:rPr>
        <w:t>Confindustria Novara Vercelli Valsesia</w:t>
      </w:r>
      <w:r w:rsidRPr="00F62A4B">
        <w:rPr>
          <w:sz w:val="24"/>
          <w:szCs w:val="24"/>
        </w:rPr>
        <w:t xml:space="preserve">. </w:t>
      </w:r>
    </w:p>
    <w:p w14:paraId="33866FB9" w14:textId="43ACCBA6" w:rsidR="00D97E8C" w:rsidRDefault="00D97E8C" w:rsidP="00A950F1">
      <w:pPr>
        <w:jc w:val="both"/>
        <w:rPr>
          <w:sz w:val="24"/>
          <w:szCs w:val="24"/>
        </w:rPr>
      </w:pPr>
      <w:r w:rsidRPr="00D97E8C">
        <w:rPr>
          <w:i/>
          <w:iCs/>
          <w:sz w:val="24"/>
          <w:szCs w:val="24"/>
        </w:rPr>
        <w:t>“Le opere più importanti sono ripartite. Parliamo della Pedemontana Biellese, dell’avanzamento della Tav e della Asti-Cuneo, ma anche di opere di rango inferiore. Dal Governo stiamo avendo un ottimo supporto e il dialogo è continuo e costante.  Da un punto di vista delle infrastrutture siamo in momento favorevole per la nostra regione, con una ricaduta positiva soprattutto per il lavoro e la viabilità”</w:t>
      </w:r>
      <w:r>
        <w:rPr>
          <w:sz w:val="24"/>
          <w:szCs w:val="24"/>
        </w:rPr>
        <w:t xml:space="preserve"> spiega </w:t>
      </w:r>
      <w:r w:rsidRPr="00D97E8C">
        <w:rPr>
          <w:b/>
          <w:bCs/>
          <w:sz w:val="24"/>
          <w:szCs w:val="24"/>
        </w:rPr>
        <w:t xml:space="preserve">Marco </w:t>
      </w:r>
      <w:proofErr w:type="spellStart"/>
      <w:r w:rsidRPr="00D97E8C">
        <w:rPr>
          <w:b/>
          <w:bCs/>
          <w:sz w:val="24"/>
          <w:szCs w:val="24"/>
        </w:rPr>
        <w:t>Gabusi</w:t>
      </w:r>
      <w:proofErr w:type="spellEnd"/>
      <w:r w:rsidRPr="00D97E8C">
        <w:rPr>
          <w:sz w:val="24"/>
          <w:szCs w:val="24"/>
        </w:rPr>
        <w:t>, assessore ai Traporti e Infrastrutture della Regione Piemonte.</w:t>
      </w:r>
    </w:p>
    <w:p w14:paraId="6F8CCC73" w14:textId="405C459F" w:rsidR="007C1D8B" w:rsidRPr="00F62A4B" w:rsidRDefault="009B7A46" w:rsidP="00A950F1">
      <w:pPr>
        <w:jc w:val="both"/>
        <w:rPr>
          <w:sz w:val="24"/>
          <w:szCs w:val="24"/>
        </w:rPr>
      </w:pPr>
      <w:r w:rsidRPr="00F62A4B">
        <w:rPr>
          <w:sz w:val="24"/>
          <w:szCs w:val="24"/>
        </w:rPr>
        <w:t xml:space="preserve">Il rapporto 2022 </w:t>
      </w:r>
      <w:r w:rsidR="001312F0" w:rsidRPr="00F62A4B">
        <w:rPr>
          <w:sz w:val="24"/>
          <w:szCs w:val="24"/>
        </w:rPr>
        <w:t xml:space="preserve">è stato </w:t>
      </w:r>
      <w:r w:rsidR="00D70D19">
        <w:rPr>
          <w:sz w:val="24"/>
          <w:szCs w:val="24"/>
        </w:rPr>
        <w:t>esteso</w:t>
      </w:r>
      <w:r w:rsidR="001312F0" w:rsidRPr="00F62A4B">
        <w:rPr>
          <w:sz w:val="24"/>
          <w:szCs w:val="24"/>
        </w:rPr>
        <w:t xml:space="preserve"> </w:t>
      </w:r>
      <w:r w:rsidR="007C1D8B" w:rsidRPr="00F62A4B">
        <w:rPr>
          <w:sz w:val="24"/>
          <w:szCs w:val="24"/>
        </w:rPr>
        <w:t>da 5</w:t>
      </w:r>
      <w:r w:rsidR="00A950F1">
        <w:rPr>
          <w:sz w:val="24"/>
          <w:szCs w:val="24"/>
        </w:rPr>
        <w:t>0</w:t>
      </w:r>
      <w:r w:rsidR="007C1D8B" w:rsidRPr="00F62A4B">
        <w:rPr>
          <w:sz w:val="24"/>
          <w:szCs w:val="24"/>
        </w:rPr>
        <w:t xml:space="preserve"> a 72 infrastrutture</w:t>
      </w:r>
      <w:r w:rsidR="001312F0" w:rsidRPr="00F62A4B">
        <w:rPr>
          <w:sz w:val="24"/>
          <w:szCs w:val="24"/>
        </w:rPr>
        <w:t xml:space="preserve"> monitorate</w:t>
      </w:r>
      <w:r w:rsidR="007C1D8B" w:rsidRPr="00F62A4B">
        <w:rPr>
          <w:sz w:val="24"/>
          <w:szCs w:val="24"/>
        </w:rPr>
        <w:t xml:space="preserve">, aggiungendo </w:t>
      </w:r>
      <w:r w:rsidRPr="00F62A4B">
        <w:rPr>
          <w:sz w:val="24"/>
          <w:szCs w:val="24"/>
        </w:rPr>
        <w:t>2</w:t>
      </w:r>
      <w:r w:rsidR="00D13F12">
        <w:rPr>
          <w:sz w:val="24"/>
          <w:szCs w:val="24"/>
        </w:rPr>
        <w:t>2</w:t>
      </w:r>
      <w:r w:rsidRPr="00F62A4B">
        <w:rPr>
          <w:sz w:val="24"/>
          <w:szCs w:val="24"/>
        </w:rPr>
        <w:t xml:space="preserve"> </w:t>
      </w:r>
      <w:r w:rsidR="001312F0" w:rsidRPr="00F62A4B">
        <w:rPr>
          <w:sz w:val="24"/>
          <w:szCs w:val="24"/>
        </w:rPr>
        <w:t xml:space="preserve">opere </w:t>
      </w:r>
      <w:r w:rsidRPr="00F62A4B">
        <w:rPr>
          <w:sz w:val="24"/>
          <w:szCs w:val="24"/>
        </w:rPr>
        <w:t>ritenute fondamentali dalle imprese piemontesi. Tra queste 6 sono finanziate dal Pnrr per 321,84 milioni</w:t>
      </w:r>
      <w:r w:rsidR="00A950F1">
        <w:rPr>
          <w:sz w:val="24"/>
          <w:szCs w:val="24"/>
        </w:rPr>
        <w:t xml:space="preserve">, </w:t>
      </w:r>
      <w:r w:rsidR="00D13F12">
        <w:rPr>
          <w:sz w:val="24"/>
          <w:szCs w:val="24"/>
        </w:rPr>
        <w:t xml:space="preserve">che si aggiungono alle </w:t>
      </w:r>
      <w:r w:rsidRPr="00F62A4B">
        <w:rPr>
          <w:sz w:val="24"/>
          <w:szCs w:val="24"/>
        </w:rPr>
        <w:t>altre 1</w:t>
      </w:r>
      <w:r w:rsidR="00D70D19">
        <w:rPr>
          <w:sz w:val="24"/>
          <w:szCs w:val="24"/>
        </w:rPr>
        <w:t>5</w:t>
      </w:r>
      <w:r w:rsidRPr="00F62A4B">
        <w:rPr>
          <w:sz w:val="24"/>
          <w:szCs w:val="24"/>
        </w:rPr>
        <w:t xml:space="preserve"> opere finanziate dal Pnrr già oggetto de</w:t>
      </w:r>
      <w:r w:rsidR="00EC0416">
        <w:rPr>
          <w:sz w:val="24"/>
          <w:szCs w:val="24"/>
        </w:rPr>
        <w:t xml:space="preserve">i rapporti </w:t>
      </w:r>
      <w:r w:rsidRPr="00F62A4B">
        <w:rPr>
          <w:sz w:val="24"/>
          <w:szCs w:val="24"/>
        </w:rPr>
        <w:t>Oti</w:t>
      </w:r>
      <w:r w:rsidR="00D70D19">
        <w:rPr>
          <w:sz w:val="24"/>
          <w:szCs w:val="24"/>
        </w:rPr>
        <w:t xml:space="preserve"> degli anni passati</w:t>
      </w:r>
      <w:r w:rsidRPr="00F62A4B">
        <w:rPr>
          <w:sz w:val="24"/>
          <w:szCs w:val="24"/>
        </w:rPr>
        <w:t xml:space="preserve">. </w:t>
      </w:r>
      <w:r w:rsidR="00182DBF">
        <w:rPr>
          <w:sz w:val="24"/>
          <w:szCs w:val="24"/>
        </w:rPr>
        <w:t xml:space="preserve">Tra le opere aggiunte, anche il </w:t>
      </w:r>
      <w:r w:rsidRPr="006F0492">
        <w:rPr>
          <w:b/>
          <w:bCs/>
          <w:sz w:val="24"/>
          <w:szCs w:val="24"/>
        </w:rPr>
        <w:t>Traforo del Monte Bianco</w:t>
      </w:r>
      <w:r w:rsidR="00D13F12">
        <w:rPr>
          <w:sz w:val="24"/>
          <w:szCs w:val="24"/>
        </w:rPr>
        <w:t xml:space="preserve"> perché </w:t>
      </w:r>
      <w:r w:rsidRPr="00F62A4B">
        <w:rPr>
          <w:sz w:val="24"/>
          <w:szCs w:val="24"/>
        </w:rPr>
        <w:t>da settembre sarà oggetto di piano di ri</w:t>
      </w:r>
      <w:r w:rsidR="00182DBF">
        <w:rPr>
          <w:sz w:val="24"/>
          <w:szCs w:val="24"/>
        </w:rPr>
        <w:t xml:space="preserve">qualificazione </w:t>
      </w:r>
      <w:r w:rsidRPr="00F62A4B">
        <w:rPr>
          <w:sz w:val="24"/>
          <w:szCs w:val="24"/>
        </w:rPr>
        <w:t xml:space="preserve">che determinerà la chiusura per quattro mesi </w:t>
      </w:r>
      <w:r w:rsidR="009C0849">
        <w:rPr>
          <w:sz w:val="24"/>
          <w:szCs w:val="24"/>
        </w:rPr>
        <w:t>l’anno fino al 2040</w:t>
      </w:r>
      <w:r w:rsidRPr="00F62A4B">
        <w:rPr>
          <w:sz w:val="24"/>
          <w:szCs w:val="24"/>
        </w:rPr>
        <w:t xml:space="preserve">. Pur </w:t>
      </w:r>
      <w:r w:rsidR="006F0492">
        <w:rPr>
          <w:sz w:val="24"/>
          <w:szCs w:val="24"/>
        </w:rPr>
        <w:t>riguardando in senso stretto</w:t>
      </w:r>
      <w:r w:rsidRPr="00F62A4B">
        <w:rPr>
          <w:sz w:val="24"/>
          <w:szCs w:val="24"/>
        </w:rPr>
        <w:t xml:space="preserve"> </w:t>
      </w:r>
      <w:r w:rsidR="006F0492">
        <w:rPr>
          <w:sz w:val="24"/>
          <w:szCs w:val="24"/>
        </w:rPr>
        <w:t xml:space="preserve">la </w:t>
      </w:r>
      <w:r w:rsidRPr="00F62A4B">
        <w:rPr>
          <w:sz w:val="24"/>
          <w:szCs w:val="24"/>
        </w:rPr>
        <w:t>Valle d’Aosta</w:t>
      </w:r>
      <w:r w:rsidR="006F0492">
        <w:rPr>
          <w:sz w:val="24"/>
          <w:szCs w:val="24"/>
        </w:rPr>
        <w:t>,</w:t>
      </w:r>
      <w:r w:rsidRPr="00F62A4B">
        <w:rPr>
          <w:sz w:val="24"/>
          <w:szCs w:val="24"/>
        </w:rPr>
        <w:t xml:space="preserve"> </w:t>
      </w:r>
      <w:r w:rsidR="00D13F12">
        <w:rPr>
          <w:sz w:val="24"/>
          <w:szCs w:val="24"/>
        </w:rPr>
        <w:t xml:space="preserve">questo intervento </w:t>
      </w:r>
      <w:r w:rsidR="006F0492">
        <w:rPr>
          <w:sz w:val="24"/>
          <w:szCs w:val="24"/>
        </w:rPr>
        <w:t xml:space="preserve">viene monitorato poiché </w:t>
      </w:r>
      <w:r w:rsidRPr="00F62A4B">
        <w:rPr>
          <w:sz w:val="24"/>
          <w:szCs w:val="24"/>
        </w:rPr>
        <w:t xml:space="preserve">avrà </w:t>
      </w:r>
      <w:r w:rsidR="006F0492">
        <w:rPr>
          <w:sz w:val="24"/>
          <w:szCs w:val="24"/>
        </w:rPr>
        <w:t xml:space="preserve">inevitabilmente </w:t>
      </w:r>
      <w:r w:rsidRPr="00F62A4B">
        <w:rPr>
          <w:sz w:val="24"/>
          <w:szCs w:val="24"/>
        </w:rPr>
        <w:t xml:space="preserve">un </w:t>
      </w:r>
      <w:r w:rsidR="006F0492">
        <w:rPr>
          <w:sz w:val="24"/>
          <w:szCs w:val="24"/>
        </w:rPr>
        <w:t xml:space="preserve">impatto anche </w:t>
      </w:r>
      <w:r w:rsidRPr="00F62A4B">
        <w:rPr>
          <w:sz w:val="24"/>
          <w:szCs w:val="24"/>
        </w:rPr>
        <w:t xml:space="preserve">sulle infrastrutture piemontesi di collegamento tra Italia e Francia. </w:t>
      </w:r>
    </w:p>
    <w:p w14:paraId="062237C9" w14:textId="70907745" w:rsidR="005B2AC1" w:rsidRDefault="005B2AC1" w:rsidP="005B2AC1">
      <w:pPr>
        <w:jc w:val="both"/>
        <w:rPr>
          <w:sz w:val="24"/>
          <w:szCs w:val="24"/>
        </w:rPr>
      </w:pPr>
      <w:r>
        <w:rPr>
          <w:sz w:val="24"/>
          <w:szCs w:val="24"/>
        </w:rPr>
        <w:t>“</w:t>
      </w:r>
      <w:r w:rsidRPr="00904DDC">
        <w:rPr>
          <w:i/>
          <w:iCs/>
          <w:sz w:val="24"/>
          <w:szCs w:val="24"/>
        </w:rPr>
        <w:t>Il valore complessivo delle opere che dovrebbero essere concluse entro il 2032 ammonta a oltre 23 miliardi, pari a quasi due punti di Pil regionale per i prossimi dieci anni. Insieme alle proposte contenute nel piano industriale che abbiamo condiviso con la Regione nel 2021. Competenze e innovazione, accompagnate da infrastrutture materiali e immateriali finalmente al passo con i tempi, sono le condizioni indispensabili per rafforzare il percorso di crescita che questo territorio ha avviato subito dopo il lockdown</w:t>
      </w:r>
      <w:r>
        <w:rPr>
          <w:i/>
          <w:iCs/>
          <w:sz w:val="24"/>
          <w:szCs w:val="24"/>
        </w:rPr>
        <w:t xml:space="preserve">. Diventa quindi </w:t>
      </w:r>
      <w:r w:rsidR="006F0492">
        <w:rPr>
          <w:i/>
          <w:iCs/>
          <w:sz w:val="24"/>
          <w:szCs w:val="24"/>
        </w:rPr>
        <w:t xml:space="preserve">necessario </w:t>
      </w:r>
      <w:r>
        <w:rPr>
          <w:i/>
          <w:iCs/>
          <w:sz w:val="24"/>
          <w:szCs w:val="24"/>
        </w:rPr>
        <w:t>accelerare le procedure per reperire i 10 miliardi che al momento non sono ancora stati erogati su queste opere essenziali per il Piemonte</w:t>
      </w:r>
      <w:r>
        <w:rPr>
          <w:sz w:val="24"/>
          <w:szCs w:val="24"/>
        </w:rPr>
        <w:t xml:space="preserve">” commenta </w:t>
      </w:r>
      <w:r w:rsidRPr="006F0492">
        <w:rPr>
          <w:b/>
          <w:bCs/>
          <w:sz w:val="24"/>
          <w:szCs w:val="24"/>
        </w:rPr>
        <w:t>Marco Gay</w:t>
      </w:r>
      <w:r>
        <w:rPr>
          <w:sz w:val="24"/>
          <w:szCs w:val="24"/>
        </w:rPr>
        <w:t xml:space="preserve">, presidente di Confindustria Piemonte. </w:t>
      </w:r>
    </w:p>
    <w:p w14:paraId="5E9A1827" w14:textId="7FF70E07" w:rsidR="00391BBE" w:rsidRDefault="00391BBE" w:rsidP="00A950F1">
      <w:pPr>
        <w:jc w:val="both"/>
        <w:rPr>
          <w:sz w:val="24"/>
          <w:szCs w:val="24"/>
        </w:rPr>
      </w:pPr>
      <w:r w:rsidRPr="00391BBE">
        <w:rPr>
          <w:i/>
          <w:iCs/>
          <w:sz w:val="24"/>
          <w:szCs w:val="24"/>
        </w:rPr>
        <w:t xml:space="preserve">"Dobbiamo ripartire da una nuova idea di territorio: un luogo di flussi e connessioni fatto di turisti, studenti, investitori, imprese e famiglie. In quest'ottica, puntando su digitalizzazione, nascita e rigenerazione d'impresa, sostenibilità ecologica, logistica e infrastrutture si potrà davvero contribuire allo sviluppo del territorio piemontese. Oti, in quest'ottica, ci permette di rafforzare il coordinamento degli interventi, aumentando l'efficienza del sistema. Dobbiamo realizzare ancora molte opere per dare impulso alle economie delle singole province: rilanciare gli investimenti vuol dire dare nuove </w:t>
      </w:r>
      <w:r w:rsidRPr="00391BBE">
        <w:rPr>
          <w:i/>
          <w:iCs/>
          <w:sz w:val="24"/>
          <w:szCs w:val="24"/>
        </w:rPr>
        <w:lastRenderedPageBreak/>
        <w:t>chance di benessere alle nostre imprese e alle nostre famiglie"</w:t>
      </w:r>
      <w:r w:rsidRPr="00391BBE">
        <w:rPr>
          <w:sz w:val="24"/>
          <w:szCs w:val="24"/>
        </w:rPr>
        <w:t xml:space="preserve"> commenta </w:t>
      </w:r>
      <w:r w:rsidRPr="00391BBE">
        <w:rPr>
          <w:b/>
          <w:bCs/>
          <w:sz w:val="24"/>
          <w:szCs w:val="24"/>
        </w:rPr>
        <w:t>Gian Paolo Coscia</w:t>
      </w:r>
      <w:r w:rsidRPr="00391BBE">
        <w:rPr>
          <w:sz w:val="24"/>
          <w:szCs w:val="24"/>
        </w:rPr>
        <w:t xml:space="preserve">, </w:t>
      </w:r>
      <w:r>
        <w:rPr>
          <w:sz w:val="24"/>
          <w:szCs w:val="24"/>
        </w:rPr>
        <w:t>p</w:t>
      </w:r>
      <w:r w:rsidRPr="00391BBE">
        <w:rPr>
          <w:sz w:val="24"/>
          <w:szCs w:val="24"/>
        </w:rPr>
        <w:t>residente</w:t>
      </w:r>
      <w:r>
        <w:rPr>
          <w:sz w:val="24"/>
          <w:szCs w:val="24"/>
        </w:rPr>
        <w:t xml:space="preserve"> di</w:t>
      </w:r>
      <w:r w:rsidRPr="00391BBE">
        <w:rPr>
          <w:sz w:val="24"/>
          <w:szCs w:val="24"/>
        </w:rPr>
        <w:t xml:space="preserve"> Unioncamere Piemonte. </w:t>
      </w:r>
    </w:p>
    <w:p w14:paraId="16DAA6A9" w14:textId="3401ED0F" w:rsidR="00192613" w:rsidRPr="00F62A4B" w:rsidRDefault="00D97E8C" w:rsidP="00A950F1">
      <w:pPr>
        <w:jc w:val="both"/>
        <w:rPr>
          <w:sz w:val="24"/>
          <w:szCs w:val="24"/>
        </w:rPr>
      </w:pPr>
      <w:r w:rsidRPr="00F62A4B">
        <w:rPr>
          <w:sz w:val="24"/>
          <w:szCs w:val="24"/>
        </w:rPr>
        <w:t xml:space="preserve">Complessivamente delle 72 opere monitorate nel 2022: </w:t>
      </w:r>
      <w:r w:rsidRPr="006F0492">
        <w:rPr>
          <w:b/>
          <w:bCs/>
          <w:sz w:val="24"/>
          <w:szCs w:val="24"/>
        </w:rPr>
        <w:t>23 risultano in linea con il programma</w:t>
      </w:r>
      <w:r w:rsidRPr="00F62A4B">
        <w:rPr>
          <w:sz w:val="24"/>
          <w:szCs w:val="24"/>
        </w:rPr>
        <w:t xml:space="preserve">, 20 hanno subito un ritardo nell’ultimo anno, </w:t>
      </w:r>
      <w:r w:rsidRPr="006F0492">
        <w:rPr>
          <w:b/>
          <w:bCs/>
          <w:sz w:val="24"/>
          <w:szCs w:val="24"/>
        </w:rPr>
        <w:t>9 sono in grave ritardo</w:t>
      </w:r>
      <w:r w:rsidRPr="00F62A4B">
        <w:rPr>
          <w:sz w:val="24"/>
          <w:szCs w:val="24"/>
        </w:rPr>
        <w:t xml:space="preserve">, 17 sono </w:t>
      </w:r>
      <w:r>
        <w:rPr>
          <w:sz w:val="24"/>
          <w:szCs w:val="24"/>
        </w:rPr>
        <w:t xml:space="preserve">ancora </w:t>
      </w:r>
      <w:r w:rsidRPr="00F62A4B">
        <w:rPr>
          <w:sz w:val="24"/>
          <w:szCs w:val="24"/>
        </w:rPr>
        <w:t xml:space="preserve">allo stadio di proposta e 3 sono </w:t>
      </w:r>
      <w:r>
        <w:rPr>
          <w:sz w:val="24"/>
          <w:szCs w:val="24"/>
        </w:rPr>
        <w:t xml:space="preserve">infine </w:t>
      </w:r>
      <w:r w:rsidRPr="00F62A4B">
        <w:rPr>
          <w:sz w:val="24"/>
          <w:szCs w:val="24"/>
        </w:rPr>
        <w:t xml:space="preserve">concluse. </w:t>
      </w:r>
      <w:r w:rsidR="009B7A46" w:rsidRPr="00F62A4B">
        <w:rPr>
          <w:sz w:val="24"/>
          <w:szCs w:val="24"/>
        </w:rPr>
        <w:t xml:space="preserve">Entro quest’anno l’Osservatorio Oti stima che saranno </w:t>
      </w:r>
      <w:r w:rsidR="003865B4" w:rsidRPr="00F62A4B">
        <w:rPr>
          <w:sz w:val="24"/>
          <w:szCs w:val="24"/>
        </w:rPr>
        <w:t>ultimati quattro cantieri: il raddoppio del tunnel autostradale del Frejus; la seconda canna del tunnel del colle di Tenda; il potenziamento dell’interporto Domo 2 di Beura-Cardezza nel Verbano-Cusio-Ossola; la riapertura del collegamento</w:t>
      </w:r>
      <w:r w:rsidR="00182DBF">
        <w:rPr>
          <w:sz w:val="24"/>
          <w:szCs w:val="24"/>
        </w:rPr>
        <w:t xml:space="preserve"> tra il passante</w:t>
      </w:r>
      <w:r w:rsidR="003865B4" w:rsidRPr="00F62A4B">
        <w:rPr>
          <w:sz w:val="24"/>
          <w:szCs w:val="24"/>
        </w:rPr>
        <w:t xml:space="preserve"> ferroviario </w:t>
      </w:r>
      <w:r w:rsidR="00182DBF">
        <w:rPr>
          <w:sz w:val="24"/>
          <w:szCs w:val="24"/>
        </w:rPr>
        <w:t xml:space="preserve">del capoluogo e </w:t>
      </w:r>
      <w:r w:rsidR="003865B4" w:rsidRPr="00F62A4B">
        <w:rPr>
          <w:sz w:val="24"/>
          <w:szCs w:val="24"/>
        </w:rPr>
        <w:t xml:space="preserve">la linea Torino-Ceres. </w:t>
      </w:r>
      <w:r w:rsidR="00D70D19">
        <w:rPr>
          <w:sz w:val="24"/>
          <w:szCs w:val="24"/>
        </w:rPr>
        <w:t>Sempre relativamente al 2023 a</w:t>
      </w:r>
      <w:r w:rsidR="003865B4" w:rsidRPr="00F62A4B">
        <w:rPr>
          <w:sz w:val="24"/>
          <w:szCs w:val="24"/>
        </w:rPr>
        <w:t xml:space="preserve"> queste si aggiunge l’avvio dei lavori di adeguamento della linea ferroviaria tra Bussoleno ed Avigliana, che fanno parte dei lavori della parte italiana della Torino-Lione, per cui sarà lanciato un bando </w:t>
      </w:r>
      <w:r w:rsidR="00182DBF">
        <w:rPr>
          <w:sz w:val="24"/>
          <w:szCs w:val="24"/>
        </w:rPr>
        <w:t xml:space="preserve">di avvio lavori </w:t>
      </w:r>
      <w:r w:rsidR="003865B4" w:rsidRPr="00F62A4B">
        <w:rPr>
          <w:sz w:val="24"/>
          <w:szCs w:val="24"/>
        </w:rPr>
        <w:t xml:space="preserve">sempre quest’anno. </w:t>
      </w:r>
      <w:r w:rsidR="003865B4" w:rsidRPr="006F0492">
        <w:rPr>
          <w:b/>
          <w:bCs/>
          <w:sz w:val="24"/>
          <w:szCs w:val="24"/>
        </w:rPr>
        <w:t>Entro il 2026</w:t>
      </w:r>
      <w:r w:rsidR="00A950F1" w:rsidRPr="006F0492">
        <w:rPr>
          <w:b/>
          <w:bCs/>
          <w:sz w:val="24"/>
          <w:szCs w:val="24"/>
        </w:rPr>
        <w:t xml:space="preserve">, quando </w:t>
      </w:r>
      <w:r w:rsidR="00182DBF" w:rsidRPr="006F0492">
        <w:rPr>
          <w:b/>
          <w:bCs/>
          <w:sz w:val="24"/>
          <w:szCs w:val="24"/>
        </w:rPr>
        <w:t xml:space="preserve">dovranno </w:t>
      </w:r>
      <w:r w:rsidR="00A950F1" w:rsidRPr="006F0492">
        <w:rPr>
          <w:b/>
          <w:bCs/>
          <w:sz w:val="24"/>
          <w:szCs w:val="24"/>
        </w:rPr>
        <w:t xml:space="preserve">essere spesi tutti i 4,05 miliardi di euro destinati alle </w:t>
      </w:r>
      <w:r w:rsidR="00D70D19">
        <w:rPr>
          <w:b/>
          <w:bCs/>
          <w:sz w:val="24"/>
          <w:szCs w:val="24"/>
        </w:rPr>
        <w:t xml:space="preserve">16 </w:t>
      </w:r>
      <w:r w:rsidR="00A950F1" w:rsidRPr="006F0492">
        <w:rPr>
          <w:b/>
          <w:bCs/>
          <w:sz w:val="24"/>
          <w:szCs w:val="24"/>
        </w:rPr>
        <w:t>infrastrutture piemontesi</w:t>
      </w:r>
      <w:r w:rsidR="00182DBF" w:rsidRPr="006F0492">
        <w:rPr>
          <w:b/>
          <w:bCs/>
          <w:sz w:val="24"/>
          <w:szCs w:val="24"/>
        </w:rPr>
        <w:t xml:space="preserve"> dal Pnrr</w:t>
      </w:r>
      <w:r w:rsidR="00A950F1">
        <w:rPr>
          <w:sz w:val="24"/>
          <w:szCs w:val="24"/>
        </w:rPr>
        <w:t>.</w:t>
      </w:r>
      <w:r w:rsidR="00192613" w:rsidRPr="00F62A4B">
        <w:rPr>
          <w:sz w:val="24"/>
          <w:szCs w:val="24"/>
        </w:rPr>
        <w:t xml:space="preserve"> </w:t>
      </w:r>
      <w:r w:rsidR="00A950F1">
        <w:rPr>
          <w:sz w:val="24"/>
          <w:szCs w:val="24"/>
        </w:rPr>
        <w:t xml:space="preserve">Nel </w:t>
      </w:r>
      <w:r w:rsidR="00192613" w:rsidRPr="00F62A4B">
        <w:rPr>
          <w:sz w:val="24"/>
          <w:szCs w:val="24"/>
        </w:rPr>
        <w:t xml:space="preserve">2030 se ne aggiungeranno altre otto, mentre nel 2032 verrà tagliato il nastro </w:t>
      </w:r>
      <w:r w:rsidR="00A950F1">
        <w:rPr>
          <w:sz w:val="24"/>
          <w:szCs w:val="24"/>
        </w:rPr>
        <w:t>per</w:t>
      </w:r>
      <w:r w:rsidR="00192613" w:rsidRPr="00F62A4B">
        <w:rPr>
          <w:sz w:val="24"/>
          <w:szCs w:val="24"/>
        </w:rPr>
        <w:t xml:space="preserve"> quattro opere, portando </w:t>
      </w:r>
      <w:r w:rsidR="00192613" w:rsidRPr="006F0492">
        <w:rPr>
          <w:b/>
          <w:bCs/>
          <w:sz w:val="24"/>
          <w:szCs w:val="24"/>
        </w:rPr>
        <w:t>il totale</w:t>
      </w:r>
      <w:r w:rsidR="00A950F1" w:rsidRPr="006F0492">
        <w:rPr>
          <w:b/>
          <w:bCs/>
          <w:sz w:val="24"/>
          <w:szCs w:val="24"/>
        </w:rPr>
        <w:t xml:space="preserve"> in dieci anni</w:t>
      </w:r>
      <w:r w:rsidR="00192613" w:rsidRPr="006F0492">
        <w:rPr>
          <w:b/>
          <w:bCs/>
          <w:sz w:val="24"/>
          <w:szCs w:val="24"/>
        </w:rPr>
        <w:t xml:space="preserve"> a 33 infrastrutture ultimate</w:t>
      </w:r>
      <w:r w:rsidR="00192613" w:rsidRPr="00F62A4B">
        <w:rPr>
          <w:sz w:val="24"/>
          <w:szCs w:val="24"/>
        </w:rPr>
        <w:t>.</w:t>
      </w:r>
    </w:p>
    <w:p w14:paraId="269C38BB" w14:textId="466FB028" w:rsidR="00BD10EB" w:rsidRPr="00F14FE8" w:rsidRDefault="00192613" w:rsidP="00A950F1">
      <w:pPr>
        <w:jc w:val="both"/>
        <w:rPr>
          <w:i/>
          <w:iCs/>
          <w:sz w:val="24"/>
          <w:szCs w:val="24"/>
        </w:rPr>
      </w:pPr>
      <w:r w:rsidRPr="00F62A4B">
        <w:rPr>
          <w:sz w:val="24"/>
          <w:szCs w:val="24"/>
        </w:rPr>
        <w:t>Quasi un terzo d</w:t>
      </w:r>
      <w:r w:rsidR="00A950F1">
        <w:rPr>
          <w:sz w:val="24"/>
          <w:szCs w:val="24"/>
        </w:rPr>
        <w:t xml:space="preserve">egli interventi che saranno ultimati entro dieci anni, </w:t>
      </w:r>
      <w:r w:rsidRPr="00F62A4B">
        <w:rPr>
          <w:sz w:val="24"/>
          <w:szCs w:val="24"/>
        </w:rPr>
        <w:t>riguardano il corridoio Mediterraneo che comprende: completamento della Torino-Lione ferroviaria; ripavimentazione della A4 Torino-</w:t>
      </w:r>
      <w:r w:rsidR="00D70D19">
        <w:rPr>
          <w:sz w:val="24"/>
          <w:szCs w:val="24"/>
        </w:rPr>
        <w:t>Milano</w:t>
      </w:r>
      <w:r w:rsidRPr="00F62A4B">
        <w:rPr>
          <w:sz w:val="24"/>
          <w:szCs w:val="24"/>
        </w:rPr>
        <w:t>; il potenziamento del nodo ferroviario di Novara e della linea Acqui Terme-Ovada-Genova; il raddoppio del tunnel autostradale del Frejus. Tre interventi ricadono sul corridoio Reno-Alpi con la conclusione nel 202</w:t>
      </w:r>
      <w:r w:rsidR="006F0492">
        <w:rPr>
          <w:sz w:val="24"/>
          <w:szCs w:val="24"/>
        </w:rPr>
        <w:t>5</w:t>
      </w:r>
      <w:r w:rsidRPr="00F62A4B">
        <w:rPr>
          <w:sz w:val="24"/>
          <w:szCs w:val="24"/>
        </w:rPr>
        <w:t xml:space="preserve"> del Terzo Valico, le bretelle ferroviarie merci sul nodo di Novara e il quadruplicamento della Tortona-Voghera. </w:t>
      </w:r>
      <w:r w:rsidR="007C1D8B" w:rsidRPr="00F62A4B">
        <w:rPr>
          <w:sz w:val="24"/>
          <w:szCs w:val="24"/>
        </w:rPr>
        <w:t xml:space="preserve">Ben sei opere insisteranno sui valichi alpini, due riguarderanno il sistema aeroportuale, dieci insisteranno sui nodi urbani, e infine nel 2026 si stima il completamento del piano per la </w:t>
      </w:r>
      <w:r w:rsidR="007C1D8B" w:rsidRPr="006F0492">
        <w:rPr>
          <w:b/>
          <w:bCs/>
          <w:sz w:val="24"/>
          <w:szCs w:val="24"/>
        </w:rPr>
        <w:t xml:space="preserve">Banda </w:t>
      </w:r>
      <w:proofErr w:type="spellStart"/>
      <w:r w:rsidR="007C1D8B" w:rsidRPr="006F0492">
        <w:rPr>
          <w:b/>
          <w:bCs/>
          <w:sz w:val="24"/>
          <w:szCs w:val="24"/>
        </w:rPr>
        <w:t>Ultralarga</w:t>
      </w:r>
      <w:proofErr w:type="spellEnd"/>
      <w:r w:rsidR="007C1D8B" w:rsidRPr="00F62A4B">
        <w:rPr>
          <w:sz w:val="24"/>
          <w:szCs w:val="24"/>
        </w:rPr>
        <w:t>, che riguarda il sistema delle connessioni immateriali.</w:t>
      </w:r>
      <w:r w:rsidR="00EC0416">
        <w:rPr>
          <w:sz w:val="24"/>
          <w:szCs w:val="24"/>
        </w:rPr>
        <w:t xml:space="preserve"> </w:t>
      </w:r>
    </w:p>
    <w:p w14:paraId="5CE4FDFC" w14:textId="77777777" w:rsidR="00F14FE8" w:rsidRPr="00F14FE8" w:rsidRDefault="00F14FE8" w:rsidP="00F14FE8">
      <w:pPr>
        <w:jc w:val="both"/>
        <w:rPr>
          <w:sz w:val="24"/>
          <w:szCs w:val="24"/>
        </w:rPr>
      </w:pPr>
      <w:r w:rsidRPr="00F14FE8">
        <w:rPr>
          <w:i/>
          <w:iCs/>
          <w:sz w:val="24"/>
          <w:szCs w:val="24"/>
        </w:rPr>
        <w:t>“Dopo i divieti introdotti dal dl 11/2023 sugli interventi legati ai bonus edilizi che potrebbero trasformarsi in un notevole rischio economico per migliaia di imprese, lo sblocco di opere infrastrutturali strategiche per il territorio, che nei prossimi dieci anni saranno numerose, rappresenta una boccata di ossigeno per il comparto edile e non solo. Le infrastrutture, oltre all’importante ruolo anticiclico per il settore delle costruzioni, rivestono un ruolo sociale con ricadute significative sull’economia regionale in termini occupazionali. Proprio in questa fase, è determinante dare attuazione agli investimenti del PNRR, senza che quest’ultimo venga rimesso in discussione, mettendo i Comuni – soprattutto quelli piccoli - e gli Enti appaltanti in condizione di acquisire liquidità per attuarne gli interventi che prevedono anticipazioni di cassa. Occorre inoltre intervenire sul caro materiali e sul caro energia con l’anticipazione alle stazioni appaltanti di una parte dei fondi richiesti nel 2022 e non ancora erogati”</w:t>
      </w:r>
      <w:r>
        <w:rPr>
          <w:i/>
          <w:iCs/>
          <w:sz w:val="24"/>
          <w:szCs w:val="24"/>
        </w:rPr>
        <w:t xml:space="preserve"> </w:t>
      </w:r>
      <w:r w:rsidRPr="00F14FE8">
        <w:rPr>
          <w:sz w:val="24"/>
          <w:szCs w:val="24"/>
        </w:rPr>
        <w:t>commenta</w:t>
      </w:r>
      <w:r>
        <w:rPr>
          <w:i/>
          <w:iCs/>
          <w:sz w:val="24"/>
          <w:szCs w:val="24"/>
        </w:rPr>
        <w:t xml:space="preserve"> </w:t>
      </w:r>
      <w:r>
        <w:rPr>
          <w:sz w:val="24"/>
          <w:szCs w:val="24"/>
        </w:rPr>
        <w:t xml:space="preserve">la presidente di Ance Piemonte, </w:t>
      </w:r>
      <w:r w:rsidRPr="00F14FE8">
        <w:rPr>
          <w:b/>
          <w:bCs/>
          <w:sz w:val="24"/>
          <w:szCs w:val="24"/>
        </w:rPr>
        <w:t xml:space="preserve">Paola </w:t>
      </w:r>
      <w:proofErr w:type="spellStart"/>
      <w:r w:rsidRPr="00F14FE8">
        <w:rPr>
          <w:b/>
          <w:bCs/>
          <w:sz w:val="24"/>
          <w:szCs w:val="24"/>
        </w:rPr>
        <w:t>Malabaila</w:t>
      </w:r>
      <w:proofErr w:type="spellEnd"/>
      <w:r>
        <w:rPr>
          <w:sz w:val="24"/>
          <w:szCs w:val="24"/>
        </w:rPr>
        <w:t xml:space="preserve">. </w:t>
      </w:r>
    </w:p>
    <w:p w14:paraId="5F2727F2" w14:textId="2FFB5634" w:rsidR="00D97E8C" w:rsidRDefault="00D97E8C" w:rsidP="00A950F1">
      <w:pPr>
        <w:jc w:val="both"/>
        <w:rPr>
          <w:sz w:val="24"/>
          <w:szCs w:val="24"/>
        </w:rPr>
      </w:pPr>
      <w:r>
        <w:rPr>
          <w:sz w:val="24"/>
          <w:szCs w:val="24"/>
        </w:rPr>
        <w:t xml:space="preserve">Ad aprire i lavori è stato il presidente di </w:t>
      </w:r>
      <w:r w:rsidRPr="00D97E8C">
        <w:rPr>
          <w:sz w:val="24"/>
          <w:szCs w:val="24"/>
        </w:rPr>
        <w:t>Confindustria Novara Vercelli Valsesia</w:t>
      </w:r>
      <w:r>
        <w:rPr>
          <w:sz w:val="24"/>
          <w:szCs w:val="24"/>
        </w:rPr>
        <w:t xml:space="preserve">, </w:t>
      </w:r>
      <w:r w:rsidRPr="00D97E8C">
        <w:rPr>
          <w:b/>
          <w:bCs/>
          <w:sz w:val="24"/>
          <w:szCs w:val="24"/>
        </w:rPr>
        <w:t>Gianni Filippa</w:t>
      </w:r>
      <w:r>
        <w:rPr>
          <w:sz w:val="24"/>
          <w:szCs w:val="24"/>
        </w:rPr>
        <w:t xml:space="preserve">, che </w:t>
      </w:r>
      <w:r w:rsidRPr="00D97E8C">
        <w:rPr>
          <w:sz w:val="24"/>
          <w:szCs w:val="24"/>
        </w:rPr>
        <w:t>ha voluto ospitare la presentazione del Rapporto di Oti Piemonte per dibattere e portare all'attenzione dell'opinione pubblica che il Piemonte</w:t>
      </w:r>
      <w:r>
        <w:rPr>
          <w:sz w:val="24"/>
          <w:szCs w:val="24"/>
        </w:rPr>
        <w:t xml:space="preserve">, è </w:t>
      </w:r>
      <w:r w:rsidRPr="00D97E8C">
        <w:rPr>
          <w:sz w:val="24"/>
          <w:szCs w:val="24"/>
        </w:rPr>
        <w:t>al centro dei traffici europei</w:t>
      </w:r>
      <w:r>
        <w:rPr>
          <w:sz w:val="24"/>
          <w:szCs w:val="24"/>
        </w:rPr>
        <w:t>,</w:t>
      </w:r>
      <w:r w:rsidRPr="00D97E8C">
        <w:rPr>
          <w:sz w:val="24"/>
          <w:szCs w:val="24"/>
        </w:rPr>
        <w:t xml:space="preserve"> e in particolare i territori nel novarese vercellese e biellese </w:t>
      </w:r>
      <w:r>
        <w:rPr>
          <w:sz w:val="24"/>
          <w:szCs w:val="24"/>
        </w:rPr>
        <w:t xml:space="preserve">che </w:t>
      </w:r>
      <w:r w:rsidRPr="00D97E8C">
        <w:rPr>
          <w:sz w:val="24"/>
          <w:szCs w:val="24"/>
        </w:rPr>
        <w:t xml:space="preserve">in pochi anni grazie alla realizzazione di </w:t>
      </w:r>
      <w:r>
        <w:rPr>
          <w:sz w:val="24"/>
          <w:szCs w:val="24"/>
        </w:rPr>
        <w:t xml:space="preserve">alcune nuove </w:t>
      </w:r>
      <w:r w:rsidRPr="00D97E8C">
        <w:rPr>
          <w:sz w:val="24"/>
          <w:szCs w:val="24"/>
        </w:rPr>
        <w:t>infrastrutture vedranno un</w:t>
      </w:r>
      <w:r>
        <w:rPr>
          <w:sz w:val="24"/>
          <w:szCs w:val="24"/>
        </w:rPr>
        <w:t>’</w:t>
      </w:r>
      <w:r w:rsidRPr="00D97E8C">
        <w:rPr>
          <w:sz w:val="24"/>
          <w:szCs w:val="24"/>
        </w:rPr>
        <w:t>accelerazione d</w:t>
      </w:r>
      <w:r>
        <w:rPr>
          <w:sz w:val="24"/>
          <w:szCs w:val="24"/>
        </w:rPr>
        <w:t>ella loro</w:t>
      </w:r>
      <w:r w:rsidRPr="00D97E8C">
        <w:rPr>
          <w:sz w:val="24"/>
          <w:szCs w:val="24"/>
        </w:rPr>
        <w:t xml:space="preserve"> competitività</w:t>
      </w:r>
      <w:r>
        <w:rPr>
          <w:sz w:val="24"/>
          <w:szCs w:val="24"/>
        </w:rPr>
        <w:t xml:space="preserve"> anche internazionale.</w:t>
      </w:r>
    </w:p>
    <w:p w14:paraId="3FC233BC" w14:textId="77777777" w:rsidR="00063AE0" w:rsidRPr="00EF32B0" w:rsidRDefault="00063AE0" w:rsidP="00063AE0">
      <w:pPr>
        <w:pStyle w:val="NormaleWeb"/>
        <w:shd w:val="clear" w:color="auto" w:fill="FFFFFF"/>
        <w:spacing w:before="0" w:beforeAutospacing="0" w:after="0" w:afterAutospacing="0"/>
        <w:rPr>
          <w:rFonts w:asciiTheme="majorHAnsi" w:hAnsiTheme="majorHAnsi" w:cstheme="majorHAnsi"/>
          <w:color w:val="000000"/>
          <w:sz w:val="22"/>
          <w:szCs w:val="22"/>
        </w:rPr>
      </w:pPr>
      <w:r w:rsidRPr="00EF32B0">
        <w:rPr>
          <w:rFonts w:asciiTheme="majorHAnsi" w:hAnsiTheme="majorHAnsi" w:cstheme="majorHAnsi"/>
          <w:color w:val="000000"/>
          <w:sz w:val="22"/>
          <w:szCs w:val="22"/>
        </w:rPr>
        <w:t>Ufficio stampa</w:t>
      </w:r>
    </w:p>
    <w:p w14:paraId="18479A53" w14:textId="77777777" w:rsidR="00063AE0" w:rsidRPr="00EF32B0" w:rsidRDefault="00063AE0" w:rsidP="00063AE0">
      <w:pPr>
        <w:pStyle w:val="NormaleWeb"/>
        <w:shd w:val="clear" w:color="auto" w:fill="FFFFFF"/>
        <w:spacing w:before="0" w:beforeAutospacing="0" w:after="0" w:afterAutospacing="0"/>
        <w:rPr>
          <w:rFonts w:asciiTheme="majorHAnsi" w:hAnsiTheme="majorHAnsi" w:cstheme="majorHAnsi"/>
          <w:color w:val="000000"/>
          <w:sz w:val="22"/>
          <w:szCs w:val="22"/>
        </w:rPr>
      </w:pPr>
      <w:r w:rsidRPr="00EF32B0">
        <w:rPr>
          <w:rFonts w:asciiTheme="majorHAnsi" w:hAnsiTheme="majorHAnsi" w:cstheme="majorHAnsi"/>
          <w:color w:val="000000"/>
          <w:sz w:val="22"/>
          <w:szCs w:val="22"/>
        </w:rPr>
        <w:t>Isabella Antonetto </w:t>
      </w:r>
      <w:hyperlink r:id="rId6" w:tgtFrame="_blank" w:history="1">
        <w:r w:rsidRPr="00EF32B0">
          <w:rPr>
            <w:rStyle w:val="Collegamentoipertestuale"/>
            <w:rFonts w:asciiTheme="majorHAnsi" w:hAnsiTheme="majorHAnsi" w:cstheme="majorHAnsi"/>
            <w:sz w:val="22"/>
            <w:szCs w:val="22"/>
          </w:rPr>
          <w:t>media@confindustria.piemonte.it</w:t>
        </w:r>
      </w:hyperlink>
    </w:p>
    <w:p w14:paraId="3433257A" w14:textId="5B836933" w:rsidR="00A950F1" w:rsidRPr="00904DDC" w:rsidRDefault="00063AE0" w:rsidP="00904DDC">
      <w:pPr>
        <w:pStyle w:val="NormaleWeb"/>
        <w:shd w:val="clear" w:color="auto" w:fill="FFFFFF"/>
        <w:spacing w:before="0" w:beforeAutospacing="0" w:after="0" w:afterAutospacing="0"/>
        <w:rPr>
          <w:rFonts w:asciiTheme="majorHAnsi" w:hAnsiTheme="majorHAnsi" w:cstheme="majorHAnsi"/>
          <w:color w:val="000000"/>
          <w:sz w:val="22"/>
          <w:szCs w:val="22"/>
        </w:rPr>
      </w:pPr>
      <w:r w:rsidRPr="00EF32B0">
        <w:rPr>
          <w:rFonts w:asciiTheme="majorHAnsi" w:hAnsiTheme="majorHAnsi" w:cstheme="majorHAnsi"/>
          <w:color w:val="000000"/>
          <w:sz w:val="22"/>
          <w:szCs w:val="22"/>
        </w:rPr>
        <w:t>Jan Pellissier 347 7845273</w:t>
      </w:r>
    </w:p>
    <w:sectPr w:rsidR="00A950F1" w:rsidRPr="00904DDC" w:rsidSect="00F62A4B">
      <w:headerReference w:type="default" r:id="rId7"/>
      <w:pgSz w:w="11906" w:h="16838"/>
      <w:pgMar w:top="1702"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DE164" w14:textId="77777777" w:rsidR="00A25899" w:rsidRDefault="00A25899" w:rsidP="00F62A4B">
      <w:pPr>
        <w:spacing w:after="0" w:line="240" w:lineRule="auto"/>
      </w:pPr>
      <w:r>
        <w:separator/>
      </w:r>
    </w:p>
  </w:endnote>
  <w:endnote w:type="continuationSeparator" w:id="0">
    <w:p w14:paraId="4936D18D" w14:textId="77777777" w:rsidR="00A25899" w:rsidRDefault="00A25899" w:rsidP="00F62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8B5D7" w14:textId="77777777" w:rsidR="00A25899" w:rsidRDefault="00A25899" w:rsidP="00F62A4B">
      <w:pPr>
        <w:spacing w:after="0" w:line="240" w:lineRule="auto"/>
      </w:pPr>
      <w:r>
        <w:separator/>
      </w:r>
    </w:p>
  </w:footnote>
  <w:footnote w:type="continuationSeparator" w:id="0">
    <w:p w14:paraId="5BDBCF7E" w14:textId="77777777" w:rsidR="00A25899" w:rsidRDefault="00A25899" w:rsidP="00F62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6730B" w14:textId="49347A13" w:rsidR="00F62A4B" w:rsidRDefault="00041CC4">
    <w:pPr>
      <w:pStyle w:val="Intestazione"/>
    </w:pPr>
    <w:r w:rsidRPr="00BE5807">
      <w:rPr>
        <w:rFonts w:ascii="Arial" w:hAnsi="Arial" w:cs="Arial"/>
        <w:b/>
        <w:noProof/>
        <w:color w:val="004386"/>
        <w:sz w:val="24"/>
        <w:lang w:eastAsia="it-IT"/>
      </w:rPr>
      <mc:AlternateContent>
        <mc:Choice Requires="wps">
          <w:drawing>
            <wp:anchor distT="0" distB="0" distL="114300" distR="114300" simplePos="0" relativeHeight="251663360" behindDoc="0" locked="0" layoutInCell="1" allowOverlap="1" wp14:anchorId="6E485955" wp14:editId="2114A618">
              <wp:simplePos x="0" y="0"/>
              <wp:positionH relativeFrom="margin">
                <wp:posOffset>4854575</wp:posOffset>
              </wp:positionH>
              <wp:positionV relativeFrom="paragraph">
                <wp:posOffset>-222885</wp:posOffset>
              </wp:positionV>
              <wp:extent cx="1409700" cy="200025"/>
              <wp:effectExtent l="0" t="0" r="0" b="0"/>
              <wp:wrapNone/>
              <wp:docPr id="1" name="CasellaDiTesto 13"/>
              <wp:cNvGraphicFramePr/>
              <a:graphic xmlns:a="http://schemas.openxmlformats.org/drawingml/2006/main">
                <a:graphicData uri="http://schemas.microsoft.com/office/word/2010/wordprocessingShape">
                  <wps:wsp>
                    <wps:cNvSpPr txBox="1"/>
                    <wps:spPr>
                      <a:xfrm>
                        <a:off x="0" y="0"/>
                        <a:ext cx="1409700" cy="200025"/>
                      </a:xfrm>
                      <a:prstGeom prst="rect">
                        <a:avLst/>
                      </a:prstGeom>
                      <a:noFill/>
                    </wps:spPr>
                    <wps:txbx>
                      <w:txbxContent>
                        <w:p w14:paraId="68233716" w14:textId="77777777" w:rsidR="00041CC4" w:rsidRPr="00BE5807" w:rsidRDefault="00041CC4" w:rsidP="00041CC4">
                          <w:pPr>
                            <w:pStyle w:val="NormaleWeb"/>
                            <w:spacing w:before="0" w:beforeAutospacing="0" w:after="0" w:afterAutospacing="0"/>
                            <w:rPr>
                              <w:rFonts w:ascii="Arial" w:hAnsi="Arial" w:cs="Arial"/>
                            </w:rPr>
                          </w:pPr>
                          <w:r w:rsidRPr="00BE5807">
                            <w:rPr>
                              <w:rFonts w:ascii="Arial" w:hAnsi="Arial" w:cs="Arial"/>
                              <w:i/>
                              <w:iCs/>
                              <w:color w:val="000000" w:themeColor="text1"/>
                              <w:kern w:val="24"/>
                              <w:sz w:val="14"/>
                              <w:szCs w:val="14"/>
                            </w:rPr>
                            <w:t>In collaborazione</w:t>
                          </w:r>
                          <w:r>
                            <w:rPr>
                              <w:rFonts w:ascii="Arial" w:hAnsi="Arial" w:cs="Arial"/>
                              <w:i/>
                              <w:iCs/>
                              <w:color w:val="000000" w:themeColor="text1"/>
                              <w:kern w:val="24"/>
                              <w:sz w:val="14"/>
                              <w:szCs w:val="14"/>
                            </w:rPr>
                            <w:t xml:space="preserve"> con</w:t>
                          </w:r>
                        </w:p>
                      </w:txbxContent>
                    </wps:txbx>
                    <wps:bodyPr wrap="square" rtlCol="0">
                      <a:spAutoFit/>
                    </wps:bodyPr>
                  </wps:wsp>
                </a:graphicData>
              </a:graphic>
            </wp:anchor>
          </w:drawing>
        </mc:Choice>
        <mc:Fallback>
          <w:pict>
            <v:shapetype w14:anchorId="6E485955" id="_x0000_t202" coordsize="21600,21600" o:spt="202" path="m,l,21600r21600,l21600,xe">
              <v:stroke joinstyle="miter"/>
              <v:path gradientshapeok="t" o:connecttype="rect"/>
            </v:shapetype>
            <v:shape id="CasellaDiTesto 13" o:spid="_x0000_s1026" type="#_x0000_t202" style="position:absolute;margin-left:382.25pt;margin-top:-17.55pt;width:111pt;height:15.7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" filled="f" stroked="f">
              <v:textbox style="mso-fit-shape-to-text:t">
                <w:txbxContent>
                  <w:p w14:paraId="68233716" w14:textId="77777777" w:rsidR="00041CC4" w:rsidRPr="00BE5807" w:rsidRDefault="00041CC4" w:rsidP="00041CC4">
                    <w:pPr>
                      <w:pStyle w:val="NormaleWeb"/>
                      <w:spacing w:before="0" w:beforeAutospacing="0" w:after="0" w:afterAutospacing="0"/>
                      <w:rPr>
                        <w:rFonts w:ascii="Arial" w:hAnsi="Arial" w:cs="Arial"/>
                      </w:rPr>
                    </w:pPr>
                    <w:r w:rsidRPr="00BE5807">
                      <w:rPr>
                        <w:rFonts w:ascii="Arial" w:hAnsi="Arial" w:cs="Arial"/>
                        <w:i/>
                        <w:iCs/>
                        <w:color w:val="000000" w:themeColor="text1"/>
                        <w:kern w:val="24"/>
                        <w:sz w:val="14"/>
                        <w:szCs w:val="14"/>
                      </w:rPr>
                      <w:t>In collaborazione</w:t>
                    </w:r>
                    <w:r>
                      <w:rPr>
                        <w:rFonts w:ascii="Arial" w:hAnsi="Arial" w:cs="Arial"/>
                        <w:i/>
                        <w:iCs/>
                        <w:color w:val="000000" w:themeColor="text1"/>
                        <w:kern w:val="24"/>
                        <w:sz w:val="14"/>
                        <w:szCs w:val="14"/>
                      </w:rPr>
                      <w:t xml:space="preserve"> con</w:t>
                    </w:r>
                  </w:p>
                </w:txbxContent>
              </v:textbox>
              <w10:wrap anchorx="margin"/>
            </v:shape>
          </w:pict>
        </mc:Fallback>
      </mc:AlternateContent>
    </w:r>
    <w:r>
      <w:rPr>
        <w:noProof/>
      </w:rPr>
      <w:drawing>
        <wp:anchor distT="0" distB="0" distL="114300" distR="114300" simplePos="0" relativeHeight="251662336" behindDoc="0" locked="0" layoutInCell="1" allowOverlap="1" wp14:anchorId="544248A8" wp14:editId="4A184B7C">
          <wp:simplePos x="0" y="0"/>
          <wp:positionH relativeFrom="column">
            <wp:posOffset>3429635</wp:posOffset>
          </wp:positionH>
          <wp:positionV relativeFrom="paragraph">
            <wp:posOffset>-95250</wp:posOffset>
          </wp:positionV>
          <wp:extent cx="1219200" cy="485775"/>
          <wp:effectExtent l="0" t="0" r="0" b="9525"/>
          <wp:wrapNone/>
          <wp:docPr id="141" name="Immagine 141" descr="Unioncamere Piemonte | CCI Alp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magine 141" descr="Unioncamere Piemonte | CCI Alpme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8298" t="19031" r="37878" b="39509"/>
                  <a:stretch/>
                </pic:blipFill>
                <pic:spPr bwMode="auto">
                  <a:xfrm>
                    <a:off x="0" y="0"/>
                    <a:ext cx="1219200" cy="485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noProof/>
        <w:color w:val="004386"/>
        <w:sz w:val="24"/>
        <w:lang w:eastAsia="it-IT"/>
      </w:rPr>
      <w:drawing>
        <wp:anchor distT="0" distB="0" distL="114300" distR="114300" simplePos="0" relativeHeight="251661312" behindDoc="0" locked="0" layoutInCell="1" allowOverlap="1" wp14:anchorId="65C916A4" wp14:editId="77E5E893">
          <wp:simplePos x="0" y="0"/>
          <wp:positionH relativeFrom="column">
            <wp:posOffset>1684655</wp:posOffset>
          </wp:positionH>
          <wp:positionV relativeFrom="paragraph">
            <wp:posOffset>-124460</wp:posOffset>
          </wp:positionV>
          <wp:extent cx="1502410" cy="561975"/>
          <wp:effectExtent l="0" t="0" r="2540" b="9525"/>
          <wp:wrapNone/>
          <wp:docPr id="140" name="Immagin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magine 140"/>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0241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807">
      <w:rPr>
        <w:rFonts w:ascii="Arial" w:hAnsi="Arial" w:cs="Arial"/>
        <w:b/>
        <w:noProof/>
        <w:color w:val="004386"/>
        <w:sz w:val="24"/>
        <w:lang w:eastAsia="it-IT"/>
      </w:rPr>
      <w:drawing>
        <wp:anchor distT="0" distB="0" distL="114300" distR="114300" simplePos="0" relativeHeight="251660288" behindDoc="0" locked="0" layoutInCell="1" allowOverlap="1" wp14:anchorId="1AC354D0" wp14:editId="636A1649">
          <wp:simplePos x="0" y="0"/>
          <wp:positionH relativeFrom="margin">
            <wp:posOffset>-19050</wp:posOffset>
          </wp:positionH>
          <wp:positionV relativeFrom="paragraph">
            <wp:posOffset>-29845</wp:posOffset>
          </wp:positionV>
          <wp:extent cx="1475105" cy="342265"/>
          <wp:effectExtent l="0" t="0" r="0" b="635"/>
          <wp:wrapNone/>
          <wp:docPr id="139" name="Immagine 139">
            <a:extLst xmlns:a="http://schemas.openxmlformats.org/drawingml/2006/main">
              <a:ext uri="{FF2B5EF4-FFF2-40B4-BE49-F238E27FC236}">
                <a16:creationId xmlns:a16="http://schemas.microsoft.com/office/drawing/2014/main" id="{61FA4230-9E10-4149-B95B-037866D8DB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magine 139">
                    <a:extLst>
                      <a:ext uri="{FF2B5EF4-FFF2-40B4-BE49-F238E27FC236}">
                        <a16:creationId xmlns:a16="http://schemas.microsoft.com/office/drawing/2014/main" id="{61FA4230-9E10-4149-B95B-037866D8DB71}"/>
                      </a:ext>
                    </a:extLst>
                  </pic:cNvPr>
                  <pic:cNvPicPr>
                    <a:picLocks noChangeAspect="1"/>
                  </pic:cNvPicPr>
                </pic:nvPicPr>
                <pic:blipFill>
                  <a:blip r:embed="rId3"/>
                  <a:stretch>
                    <a:fillRect/>
                  </a:stretch>
                </pic:blipFill>
                <pic:spPr>
                  <a:xfrm>
                    <a:off x="0" y="0"/>
                    <a:ext cx="1475105" cy="342265"/>
                  </a:xfrm>
                  <a:prstGeom prst="rect">
                    <a:avLst/>
                  </a:prstGeom>
                </pic:spPr>
              </pic:pic>
            </a:graphicData>
          </a:graphic>
          <wp14:sizeRelH relativeFrom="margin">
            <wp14:pctWidth>0</wp14:pctWidth>
          </wp14:sizeRelH>
          <wp14:sizeRelV relativeFrom="margin">
            <wp14:pctHeight>0</wp14:pctHeight>
          </wp14:sizeRelV>
        </wp:anchor>
      </w:drawing>
    </w:r>
    <w:r w:rsidRPr="00BE5807">
      <w:rPr>
        <w:rFonts w:ascii="Arial" w:hAnsi="Arial" w:cs="Arial"/>
        <w:b/>
        <w:noProof/>
        <w:color w:val="004386"/>
        <w:sz w:val="24"/>
        <w:lang w:eastAsia="it-IT"/>
      </w:rPr>
      <w:drawing>
        <wp:anchor distT="0" distB="0" distL="114300" distR="114300" simplePos="0" relativeHeight="251659264" behindDoc="0" locked="0" layoutInCell="1" allowOverlap="1" wp14:anchorId="260DABE9" wp14:editId="4CE38DFE">
          <wp:simplePos x="0" y="0"/>
          <wp:positionH relativeFrom="column">
            <wp:posOffset>4849495</wp:posOffset>
          </wp:positionH>
          <wp:positionV relativeFrom="paragraph">
            <wp:posOffset>5715</wp:posOffset>
          </wp:positionV>
          <wp:extent cx="1360170" cy="409575"/>
          <wp:effectExtent l="0" t="0" r="0" b="9525"/>
          <wp:wrapNone/>
          <wp:docPr id="138" name="Immagine 138" descr="Immagine che contiene testo&#10;&#10;Descrizione generata automaticamente">
            <a:extLst xmlns:a="http://schemas.openxmlformats.org/drawingml/2006/main">
              <a:ext uri="{FF2B5EF4-FFF2-40B4-BE49-F238E27FC236}">
                <a16:creationId xmlns:a16="http://schemas.microsoft.com/office/drawing/2014/main" id="{0926D075-4C98-4760-8BD9-A6BC486962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magine 138" descr="Immagine che contiene testo&#10;&#10;Descrizione generata automaticamente">
                    <a:extLst>
                      <a:ext uri="{FF2B5EF4-FFF2-40B4-BE49-F238E27FC236}">
                        <a16:creationId xmlns:a16="http://schemas.microsoft.com/office/drawing/2014/main" id="{0926D075-4C98-4760-8BD9-A6BC486962FA}"/>
                      </a:ext>
                    </a:extLst>
                  </pic:cNvPr>
                  <pic:cNvPicPr>
                    <a:picLocks noChangeAspect="1"/>
                  </pic:cNvPicPr>
                </pic:nvPicPr>
                <pic:blipFill rotWithShape="1">
                  <a:blip r:embed="rId4" cstate="print">
                    <a:extLst>
                      <a:ext uri="{28A0092B-C50C-407E-A947-70E740481C1C}">
                        <a14:useLocalDpi xmlns:a14="http://schemas.microsoft.com/office/drawing/2010/main" val="0"/>
                      </a:ext>
                    </a:extLst>
                  </a:blip>
                  <a:srcRect t="41164" b="16245"/>
                  <a:stretch/>
                </pic:blipFill>
                <pic:spPr>
                  <a:xfrm>
                    <a:off x="0" y="0"/>
                    <a:ext cx="1360170" cy="40957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C49"/>
    <w:rsid w:val="00041CC4"/>
    <w:rsid w:val="00063AE0"/>
    <w:rsid w:val="000921E8"/>
    <w:rsid w:val="001312F0"/>
    <w:rsid w:val="00182DBF"/>
    <w:rsid w:val="00192613"/>
    <w:rsid w:val="00302E9B"/>
    <w:rsid w:val="003219DB"/>
    <w:rsid w:val="00383061"/>
    <w:rsid w:val="003865B4"/>
    <w:rsid w:val="00391BBE"/>
    <w:rsid w:val="003D35D7"/>
    <w:rsid w:val="003D769B"/>
    <w:rsid w:val="00403240"/>
    <w:rsid w:val="0053528F"/>
    <w:rsid w:val="00584FDE"/>
    <w:rsid w:val="005A6780"/>
    <w:rsid w:val="005B2AC1"/>
    <w:rsid w:val="005F3D22"/>
    <w:rsid w:val="006F0492"/>
    <w:rsid w:val="007C1D8B"/>
    <w:rsid w:val="008015BC"/>
    <w:rsid w:val="008434F0"/>
    <w:rsid w:val="00904DDC"/>
    <w:rsid w:val="00977D1D"/>
    <w:rsid w:val="009B7A46"/>
    <w:rsid w:val="009C0849"/>
    <w:rsid w:val="009D0B30"/>
    <w:rsid w:val="00A20DFB"/>
    <w:rsid w:val="00A25899"/>
    <w:rsid w:val="00A36E93"/>
    <w:rsid w:val="00A950F1"/>
    <w:rsid w:val="00B37774"/>
    <w:rsid w:val="00B41AC8"/>
    <w:rsid w:val="00B43118"/>
    <w:rsid w:val="00B6142F"/>
    <w:rsid w:val="00B862C5"/>
    <w:rsid w:val="00BA6B60"/>
    <w:rsid w:val="00BD10EB"/>
    <w:rsid w:val="00CA4C53"/>
    <w:rsid w:val="00CB75E0"/>
    <w:rsid w:val="00CD2851"/>
    <w:rsid w:val="00D13F12"/>
    <w:rsid w:val="00D278AF"/>
    <w:rsid w:val="00D70D19"/>
    <w:rsid w:val="00D97E8C"/>
    <w:rsid w:val="00DE29DB"/>
    <w:rsid w:val="00E34309"/>
    <w:rsid w:val="00E5547A"/>
    <w:rsid w:val="00E664BF"/>
    <w:rsid w:val="00E74024"/>
    <w:rsid w:val="00E97305"/>
    <w:rsid w:val="00EC0416"/>
    <w:rsid w:val="00EC0C49"/>
    <w:rsid w:val="00ED222A"/>
    <w:rsid w:val="00EE2033"/>
    <w:rsid w:val="00F119B1"/>
    <w:rsid w:val="00F14FE8"/>
    <w:rsid w:val="00F42446"/>
    <w:rsid w:val="00F62A4B"/>
    <w:rsid w:val="00FB5469"/>
    <w:rsid w:val="00FD15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977E2"/>
  <w15:chartTrackingRefBased/>
  <w15:docId w15:val="{06C72CDA-935C-45BC-A79D-811808003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theme="minorBidi"/>
        <w:sz w:val="28"/>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62A4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62A4B"/>
  </w:style>
  <w:style w:type="paragraph" w:styleId="Pidipagina">
    <w:name w:val="footer"/>
    <w:basedOn w:val="Normale"/>
    <w:link w:val="PidipaginaCarattere"/>
    <w:uiPriority w:val="99"/>
    <w:unhideWhenUsed/>
    <w:rsid w:val="00F62A4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62A4B"/>
  </w:style>
  <w:style w:type="paragraph" w:styleId="NormaleWeb">
    <w:name w:val="Normal (Web)"/>
    <w:basedOn w:val="Normale"/>
    <w:uiPriority w:val="99"/>
    <w:unhideWhenUsed/>
    <w:rsid w:val="00063AE0"/>
    <w:pPr>
      <w:spacing w:before="100" w:beforeAutospacing="1" w:after="100" w:afterAutospacing="1" w:line="240" w:lineRule="auto"/>
    </w:pPr>
    <w:rPr>
      <w:rFonts w:ascii="Times New Roman" w:eastAsiaTheme="minorEastAsia" w:hAnsi="Times New Roman" w:cs="Times New Roman"/>
      <w:sz w:val="24"/>
      <w:szCs w:val="24"/>
      <w:lang w:eastAsia="it-IT"/>
    </w:rPr>
  </w:style>
  <w:style w:type="character" w:styleId="Collegamentoipertestuale">
    <w:name w:val="Hyperlink"/>
    <w:basedOn w:val="Carpredefinitoparagrafo"/>
    <w:uiPriority w:val="99"/>
    <w:unhideWhenUsed/>
    <w:rsid w:val="00063A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837147">
      <w:bodyDiv w:val="1"/>
      <w:marLeft w:val="0"/>
      <w:marRight w:val="0"/>
      <w:marTop w:val="0"/>
      <w:marBottom w:val="0"/>
      <w:divBdr>
        <w:top w:val="none" w:sz="0" w:space="0" w:color="auto"/>
        <w:left w:val="none" w:sz="0" w:space="0" w:color="auto"/>
        <w:bottom w:val="none" w:sz="0" w:space="0" w:color="auto"/>
        <w:right w:val="none" w:sz="0" w:space="0" w:color="auto"/>
      </w:divBdr>
    </w:div>
    <w:div w:id="188930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1082</Words>
  <Characters>6173</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Media</dc:creator>
  <cp:keywords/>
  <dc:description/>
  <cp:lastModifiedBy>Media</cp:lastModifiedBy>
  <cp:revision>18</cp:revision>
  <dcterms:created xsi:type="dcterms:W3CDTF">2023-03-13T10:25:00Z</dcterms:created>
  <dcterms:modified xsi:type="dcterms:W3CDTF">2023-03-17T14:52:00Z</dcterms:modified>
</cp:coreProperties>
</file>